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Ind w:w="0" w:type="dxa"/>
        <w:tblStyle w:val="TableGrid"/>
        <w:tblOverlap w:val="Never"/>
        <w:tblW w:w="14570" w:type="dxa"/>
        <w:tblLook w:val="01E0"/>
        <w:tblLayout w:type="fixed"/>
        <w:tblBorders/>
        <w:jc w:val="left"/>
      </w:tblPr>
      <w:tblGrid>
        <w:gridCol w:val="9616"/>
        <w:gridCol w:val="4954"/>
      </w:tblGrid>
      <w:tr>
        <w:trPr/>
        <w:tc>
          <w:tcPr>
            <w:tcW w:w="9616" w:type="dxa"/>
            <w:tcBorders/>
            <w:tcMar>
              <w:bottom w:w="0" w:type="dxa"/>
              <w:left w:w="0" w:type="dxa"/>
              <w:top w:w="0" w:type="dxa"/>
              <w:right w:w="0" w:type="dxa"/>
            </w:tcMar>
            <w:vAlign w:val="baseline"/>
            <w:noWrap w:val="off"/>
          </w:tcPr>
          <w:p>
            <w:pPr>
              <w:spacing w:line="1" w:lineRule="auto"/>
            </w:pPr>
          </w:p>
        </w:tc>
        <w:tc>
          <w:tcPr>
            <w:tcW w:w="4954" w:type="dxa"/>
            <w:vMerge w:val="restart"/>
            <w:tcBorders/>
            <w:tcMar>
              <w:bottom w:w="0" w:type="dxa"/>
              <w:left w:w="0" w:type="dxa"/>
              <w:top w:w="0" w:type="dxa"/>
              <w:right w:w="0" w:type="dxa"/>
            </w:tcMar>
            <w:vAlign w:val="baseline"/>
            <w:noWrap w:val="off"/>
          </w:tcPr>
          <w:tbl>
            <w:tblPr>
              <w:tblInd w:w="0" w:type="dxa"/>
              <w:tblStyle w:val="TableGrid"/>
              <w:tblOverlap w:val="Never"/>
              <w:tblW w:w="4954" w:type="dxa"/>
              <w:tblLook w:val="01E0"/>
              <w:tblLayout w:type="fixed"/>
              <w:tblBorders/>
              <w:jc w:val="left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r>
              <w:trPr/>
              <w:tc>
                <w:tcPr>
                  <w:tcW w:w="4954" w:type="dxa"/>
                  <w:tcBorders/>
                  <w:tcMar>
                    <w:bottom w:w="160" w:type="dxa"/>
                    <w:left w:w="0" w:type="dxa"/>
                    <w:top w:w="0" w:type="dxa"/>
                    <w:right w:w="0" w:type="dxa"/>
                  </w:tcMar>
                  <w:vAlign w:val="baseline"/>
                  <w:noWrap w:val="off"/>
                </w:tcPr>
                <w:p>
                  <w:pPr>
                    <w:spacing w:before="0" w:after="0"/>
                    <w:jc w:val="left"/>
                    <w:bidi w:val="off"/>
                  </w:pPr>
                  <w:r>
                    <w:rPr>
                      <w:color w:val="000000"/>
                      <w:rFonts w:ascii="Times New Roman" w:eastAsia="Times New Roman" w:hAnsi="Times New Roman" w:cs="Times New Roman"/>
                      <w:sz w:val="28"/>
                      <w:szCs w:val="28"/>
                      <w:spacing w:val="0"/>
                      <w:jc w:val="left"/>
                    </w:rPr>
                    <w:t xml:space="preserve">Приложение 3</w:t>
                  </w:r>
                </w:p>
                <w:p>
                  <w:pPr>
                    <w:spacing w:before="0" w:after="0"/>
                    <w:jc w:val="left"/>
                    <w:bidi w:val="off"/>
                  </w:pPr>
                  <w:r>
                    <w:rPr>
                      <w:color w:val="000000"/>
                      <w:rFonts w:ascii="Times New Roman" w:eastAsia="Times New Roman" w:hAnsi="Times New Roman" w:cs="Times New Roman"/>
                      <w:sz w:val="28"/>
                      <w:szCs w:val="28"/>
                      <w:spacing w:val="0"/>
                      <w:jc w:val="left"/>
                    </w:rPr>
                    <w:t xml:space="preserve">к решению Совета сельского поселения</w:t>
                  </w:r>
                </w:p>
                <w:p>
                  <w:pPr>
                    <w:spacing w:before="0" w:after="0"/>
                    <w:jc w:val="left"/>
                    <w:bidi w:val="off"/>
                  </w:pPr>
                  <w:r>
                    <w:rPr>
                      <w:color w:val="000000"/>
                      <w:rFonts w:ascii="Times New Roman" w:eastAsia="Times New Roman" w:hAnsi="Times New Roman" w:cs="Times New Roman"/>
                      <w:sz w:val="28"/>
                      <w:szCs w:val="28"/>
                      <w:spacing w:val="0"/>
                      <w:jc w:val="left"/>
                    </w:rPr>
                    <w:t xml:space="preserve">Балтийский сельсовет</w:t>
                  </w:r>
                </w:p>
                <w:p>
                  <w:pPr>
                    <w:spacing w:before="0" w:after="0"/>
                    <w:jc w:val="left"/>
                    <w:bidi w:val="off"/>
                  </w:pPr>
                  <w:r>
                    <w:rPr>
                      <w:color w:val="000000"/>
                      <w:rFonts w:ascii="Times New Roman" w:eastAsia="Times New Roman" w:hAnsi="Times New Roman" w:cs="Times New Roman"/>
                      <w:sz w:val="28"/>
                      <w:szCs w:val="28"/>
                      <w:spacing w:val="0"/>
                      <w:jc w:val="left"/>
                    </w:rPr>
                    <w:t xml:space="preserve">муниципального района </w:t>
                  </w:r>
                </w:p>
                <w:p>
                  <w:pPr>
                    <w:spacing w:before="0" w:after="0"/>
                    <w:jc w:val="left"/>
                    <w:bidi w:val="off"/>
                  </w:pPr>
                  <w:r>
                    <w:rPr>
                      <w:color w:val="000000"/>
                      <w:rFonts w:ascii="Times New Roman" w:eastAsia="Times New Roman" w:hAnsi="Times New Roman" w:cs="Times New Roman"/>
                      <w:sz w:val="28"/>
                      <w:szCs w:val="28"/>
                      <w:spacing w:val="0"/>
                      <w:jc w:val="left"/>
                    </w:rPr>
                    <w:t xml:space="preserve">Иглинский район</w:t>
                  </w:r>
                </w:p>
                <w:p>
                  <w:pPr>
                    <w:spacing w:before="0" w:after="0"/>
                    <w:jc w:val="left"/>
                    <w:bidi w:val="off"/>
                  </w:pPr>
                  <w:r>
                    <w:rPr>
                      <w:color w:val="000000"/>
                      <w:rFonts w:ascii="Times New Roman" w:eastAsia="Times New Roman" w:hAnsi="Times New Roman" w:cs="Times New Roman"/>
                      <w:sz w:val="28"/>
                      <w:szCs w:val="28"/>
                      <w:spacing w:val="0"/>
                      <w:jc w:val="left"/>
                    </w:rPr>
                    <w:t xml:space="preserve">Республики Башкортостан</w:t>
                  </w:r>
                </w:p>
                <w:p>
                  <w:pPr>
                    <w:spacing w:before="0" w:after="0"/>
                    <w:jc w:val="left"/>
                    <w:bidi w:val="off"/>
                  </w:pPr>
                  <w:r>
                    <w:rPr>
                      <w:color w:val="000000"/>
                      <w:rFonts w:ascii="Times New Roman" w:eastAsia="Times New Roman" w:hAnsi="Times New Roman" w:cs="Times New Roman"/>
                      <w:sz w:val="28"/>
                      <w:szCs w:val="28"/>
                      <w:spacing w:val="0"/>
                      <w:jc w:val="left"/>
                    </w:rPr>
                    <w:t xml:space="preserve">от «__» _____ 2025 года №</w:t>
                  </w:r>
                </w:p>
              </w:tc>
            </w:tr>
          </w:tbl>
          <w:p>
            <w:pPr>
              <w:spacing w:line="1" w:lineRule="auto"/>
            </w:pPr>
          </w:p>
        </w:tc>
      </w:tr>
      <w:tr>
        <w:trPr/>
        <w:tc>
          <w:tcPr>
            <w:tcW w:w="9616" w:type="dxa"/>
            <w:tcBorders/>
            <w:tcMar>
              <w:bottom w:w="0" w:type="dxa"/>
              <w:left w:w="0" w:type="dxa"/>
              <w:top w:w="0" w:type="dxa"/>
              <w:right w:w="0" w:type="dxa"/>
            </w:tcMar>
            <w:vAlign w:val="baseline"/>
            <w:noWrap w:val="off"/>
          </w:tcPr>
          <w:p>
            <w:pPr>
              <w:spacing w:line="1" w:lineRule="auto"/>
            </w:pPr>
          </w:p>
        </w:tc>
        <w:tc>
          <w:tcPr>
            <w:tcW w:w="4954" w:type="dxa"/>
            <w:vMerge/>
            <w:tcBorders/>
            <w:tcMar>
              <w:bottom w:w="0" w:type="dxa"/>
              <w:left w:w="0" w:type="dxa"/>
              <w:top w:w="0" w:type="dxa"/>
              <w:right w:w="0" w:type="dxa"/>
            </w:tcMar>
            <w:vAlign w:val="baseline"/>
            <w:noWrap w:val="off"/>
          </w:tcPr>
          <w:p>
            <w:pPr>
              <w:spacing w:line="1" w:lineRule="auto"/>
            </w:pPr>
          </w:p>
        </w:tc>
      </w:tr>
      <w:tr>
        <w:trPr/>
        <w:tc>
          <w:tcPr>
            <w:tcW w:w="9616" w:type="dxa"/>
            <w:tcBorders/>
            <w:tcMar>
              <w:bottom w:w="0" w:type="dxa"/>
              <w:left w:w="0" w:type="dxa"/>
              <w:top w:w="0" w:type="dxa"/>
              <w:right w:w="0" w:type="dxa"/>
            </w:tcMar>
            <w:vAlign w:val="baseline"/>
            <w:noWrap w:val="off"/>
          </w:tcPr>
          <w:p>
            <w:pPr>
              <w:spacing w:line="1" w:lineRule="auto"/>
            </w:pPr>
          </w:p>
        </w:tc>
        <w:tc>
          <w:tcPr>
            <w:tcW w:w="4954" w:type="dxa"/>
            <w:vMerge/>
            <w:tcBorders/>
            <w:tcMar>
              <w:bottom w:w="0" w:type="dxa"/>
              <w:left w:w="0" w:type="dxa"/>
              <w:top w:w="0" w:type="dxa"/>
              <w:right w:w="0" w:type="dxa"/>
            </w:tcMar>
            <w:vAlign w:val="baseline"/>
            <w:noWrap w:val="off"/>
          </w:tcPr>
          <w:p>
            <w:pPr>
              <w:spacing w:line="1" w:lineRule="auto"/>
            </w:pPr>
          </w:p>
        </w:tc>
      </w:tr>
      <w:tr>
        <w:trPr/>
        <w:tc>
          <w:tcPr>
            <w:tcW w:w="9616" w:type="dxa"/>
            <w:tcBorders/>
            <w:tcMar>
              <w:bottom w:w="0" w:type="dxa"/>
              <w:left w:w="0" w:type="dxa"/>
              <w:top w:w="0" w:type="dxa"/>
              <w:right w:w="0" w:type="dxa"/>
            </w:tcMar>
            <w:vAlign w:val="baseline"/>
            <w:noWrap w:val="off"/>
          </w:tcPr>
          <w:p>
            <w:pPr>
              <w:spacing w:line="1" w:lineRule="auto"/>
            </w:pPr>
          </w:p>
        </w:tc>
        <w:tc>
          <w:tcPr>
            <w:tcW w:w="4954" w:type="dxa"/>
            <w:vMerge/>
            <w:tcBorders/>
            <w:tcMar>
              <w:bottom w:w="0" w:type="dxa"/>
              <w:left w:w="0" w:type="dxa"/>
              <w:top w:w="0" w:type="dxa"/>
              <w:right w:w="0" w:type="dxa"/>
            </w:tcMar>
            <w:vAlign w:val="baseline"/>
            <w:noWrap w:val="off"/>
          </w:tcPr>
          <w:p>
            <w:pPr>
              <w:spacing w:line="1" w:lineRule="auto"/>
            </w:pPr>
          </w:p>
        </w:tc>
      </w:tr>
      <w:tr>
        <w:trPr/>
        <w:tc>
          <w:tcPr>
            <w:tcW w:w="9616" w:type="dxa"/>
            <w:tcBorders/>
            <w:tcMar>
              <w:bottom w:w="0" w:type="dxa"/>
              <w:left w:w="0" w:type="dxa"/>
              <w:top w:w="0" w:type="dxa"/>
              <w:right w:w="0" w:type="dxa"/>
            </w:tcMar>
            <w:vAlign w:val="baseline"/>
            <w:noWrap w:val="off"/>
          </w:tcPr>
          <w:p>
            <w:pPr>
              <w:spacing w:line="1" w:lineRule="auto"/>
            </w:pPr>
          </w:p>
        </w:tc>
        <w:tc>
          <w:tcPr>
            <w:tcW w:w="4954" w:type="dxa"/>
            <w:vMerge/>
            <w:tcBorders/>
            <w:tcMar>
              <w:bottom w:w="0" w:type="dxa"/>
              <w:left w:w="0" w:type="dxa"/>
              <w:top w:w="0" w:type="dxa"/>
              <w:right w:w="0" w:type="dxa"/>
            </w:tcMar>
            <w:vAlign w:val="baseline"/>
            <w:noWrap w:val="off"/>
          </w:tcPr>
          <w:p>
            <w:pPr>
              <w:spacing w:line="1" w:lineRule="auto"/>
            </w:pPr>
          </w:p>
        </w:tc>
      </w:tr>
      <w:tr>
        <w:trPr/>
        <w:tc>
          <w:tcPr>
            <w:tcW w:w="9616" w:type="dxa"/>
            <w:tcBorders/>
            <w:tcMar>
              <w:bottom w:w="0" w:type="dxa"/>
              <w:left w:w="0" w:type="dxa"/>
              <w:top w:w="0" w:type="dxa"/>
              <w:right w:w="0" w:type="dxa"/>
            </w:tcMar>
            <w:vAlign w:val="baseline"/>
            <w:noWrap w:val="off"/>
          </w:tcPr>
          <w:p>
            <w:pPr>
              <w:spacing w:line="1" w:lineRule="auto"/>
            </w:pPr>
          </w:p>
        </w:tc>
        <w:tc>
          <w:tcPr>
            <w:tcW w:w="4954" w:type="dxa"/>
            <w:vMerge/>
            <w:tcBorders/>
            <w:tcMar>
              <w:bottom w:w="0" w:type="dxa"/>
              <w:left w:w="0" w:type="dxa"/>
              <w:top w:w="0" w:type="dxa"/>
              <w:right w:w="0" w:type="dxa"/>
            </w:tcMar>
            <w:vAlign w:val="baseline"/>
            <w:noWrap w:val="off"/>
          </w:tcPr>
          <w:p>
            <w:pPr>
              <w:spacing w:line="1" w:lineRule="auto"/>
            </w:pPr>
          </w:p>
        </w:tc>
      </w:tr>
      <w:tr>
        <w:trPr/>
        <w:tc>
          <w:tcPr>
            <w:tcW w:w="9616" w:type="dxa"/>
            <w:tcBorders/>
            <w:tcMar>
              <w:bottom w:w="0" w:type="dxa"/>
              <w:left w:w="0" w:type="dxa"/>
              <w:top w:w="0" w:type="dxa"/>
              <w:right w:w="0" w:type="dxa"/>
            </w:tcMar>
            <w:vAlign w:val="baseline"/>
            <w:noWrap w:val="off"/>
          </w:tcPr>
          <w:p>
            <w:pPr>
              <w:spacing w:line="1" w:lineRule="auto"/>
            </w:pPr>
          </w:p>
        </w:tc>
        <w:tc>
          <w:tcPr>
            <w:tcW w:w="4954" w:type="dxa"/>
            <w:vMerge/>
            <w:tcBorders/>
            <w:tcMar>
              <w:bottom w:w="0" w:type="dxa"/>
              <w:left w:w="0" w:type="dxa"/>
              <w:top w:w="0" w:type="dxa"/>
              <w:right w:w="0" w:type="dxa"/>
            </w:tcMar>
            <w:vAlign w:val="baseline"/>
            <w:noWrap w:val="off"/>
          </w:tcPr>
          <w:p>
            <w:pPr>
              <w:spacing w:line="1" w:lineRule="auto"/>
            </w:pPr>
          </w:p>
        </w:tc>
      </w:tr>
    </w:tbl>
    <w:p>
      <w:rPr>
        <w:vanish w:val="on"/>
      </w:rPr>
    </w:p>
    <w:tbl>
      <w:tblPr>
        <w:tblInd w:w="0" w:type="dxa"/>
        <w:tblStyle w:val="TableGrid"/>
        <w:tblOverlap w:val="Never"/>
        <w:tblW w:w="14570" w:type="dxa"/>
        <w:tblLook w:val="01E0"/>
        <w:tblLayout w:type="fixed"/>
        <w:tblBorders/>
        <w:jc w:val="center"/>
        <w:tblCellMar>
          <w:top w:w="0" w:type="dxa"/>
          <w:left w:w="0" w:type="dxa"/>
          <w:bottom w:w="0" w:type="dxa"/>
          <w:right w:w="0" w:type="dxa"/>
        </w:tblCellMar>
      </w:tblPr>
      <w:tr>
        <w:trPr/>
        <w:tc>
          <w:tcPr>
            <w:tcW w:w="14570" w:type="dxa"/>
            <w:tcBorders/>
            <w:tcMar>
              <w:bottom w:w="220" w:type="dxa"/>
              <w:left w:w="0" w:type="dxa"/>
              <w:top w:w="220" w:type="dxa"/>
              <w:right w:w="100" w:type="dxa"/>
            </w:tcMar>
            <w:vAlign w:val="baseline"/>
            <w:noWrap w:val="off"/>
          </w:tcPr>
          <w:pPr>
            <w:jc w:val="center"/>
          </w:pPr>
          <w:p>
            <w:pPr>
              <w:spacing w:before="0" w:after="0"/>
              <w:jc w:val="center"/>
              <w:bidi w:val="off"/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  <w:jc w:val="center"/>
              </w:rPr>
              <w:t xml:space="preserve">Распределение бюджетных ассигнований </w:t>
            </w: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  <w:jc w:val="center"/>
              </w:rPr>
              <w:t xml:space="preserve">сельского поселения</w:t>
            </w: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  <w:jc w:val="center"/>
              </w:rPr>
              <w:t xml:space="preserve"> Балтийский сельсовет</w:t>
            </w:r>
          </w:p>
          <w:p>
            <w:pPr>
              <w:spacing w:before="0" w:after="0"/>
              <w:jc w:val="center"/>
              <w:bidi w:val="off"/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  <w:jc w:val="center"/>
              </w:rPr>
              <w:t xml:space="preserve">муниципального района Иглинский район </w:t>
            </w: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  <w:jc w:val="center"/>
              </w:rPr>
              <w:t xml:space="preserve">Республики Башкортостан</w:t>
            </w:r>
          </w:p>
          <w:p>
            <w:pPr>
              <w:spacing w:before="0" w:after="0"/>
              <w:jc w:val="center"/>
              <w:bidi w:val="off"/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  <w:jc w:val="center"/>
              </w:rPr>
              <w:t xml:space="preserve">на 2026 год и на плановый период 2027 и 2028 годов</w:t>
            </w:r>
          </w:p>
          <w:p>
            <w:pPr>
              <w:spacing w:before="0" w:after="0"/>
              <w:jc w:val="center"/>
              <w:bidi w:val="off"/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  <w:jc w:val="center"/>
              </w:rPr>
              <w:t xml:space="preserve">по целевым статьям (муниципальным программам и непрограммным направлениям деятельности),</w:t>
            </w:r>
          </w:p>
          <w:p>
            <w:pPr>
              <w:spacing w:before="0" w:after="0"/>
              <w:jc w:val="center"/>
              <w:bidi w:val="off"/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  <w:jc w:val="center"/>
              </w:rPr>
              <w:t xml:space="preserve">группам видов расходов классификации расходов бюджетов</w:t>
            </w:r>
          </w:p>
        </w:tc>
      </w:tr>
    </w:tbl>
    <w:p>
      <w:rPr>
        <w:vanish w:val="on"/>
      </w:rPr>
    </w:p>
    <w:tbl>
      <w:tblPr>
        <w:tblInd w:w="0" w:type="dxa"/>
        <w:tblStyle w:val="TableGrid"/>
        <w:tblOverlap w:val="Never"/>
        <w:tblW w:w="14570" w:type="dxa"/>
        <w:tblLook w:val="01E0"/>
        <w:tblLayout w:type="fixed"/>
        <w:tblBorders/>
        <w:jc w:val="right"/>
        <w:tblCellMar>
          <w:top w:w="0" w:type="dxa"/>
          <w:left w:w="0" w:type="dxa"/>
          <w:bottom w:w="0" w:type="dxa"/>
          <w:right w:w="0" w:type="dxa"/>
        </w:tblCellMar>
      </w:tblPr>
      <w:tr>
        <w:trPr/>
        <w:tc>
          <w:tcPr>
            <w:tcW w:w="14570" w:type="dxa"/>
            <w:tcBorders/>
            <w:tcMar>
              <w:bottom w:w="0" w:type="dxa"/>
              <w:left w:w="0" w:type="dxa"/>
              <w:top w:w="0" w:type="dxa"/>
              <w:right w:w="100" w:type="dxa"/>
            </w:tcMar>
            <w:vAlign w:val="baseline"/>
            <w:noWrap w:val="off"/>
          </w:tcPr>
          <w:pPr>
            <w:jc w:val="right"/>
          </w:pPr>
          <w:p>
            <w:pPr>
              <w:spacing w:before="0" w:after="0"/>
              <w:jc w:val="right"/>
              <w:bidi w:val="off"/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jc w:val="right"/>
              </w:rPr>
              <w:t xml:space="preserve">(в рублях)</w:t>
            </w:r>
          </w:p>
        </w:tc>
      </w:tr>
    </w:tbl>
    <w:bookmarkStart w:id="0" w:name="__bookmark_1"/>
    <w:bookmarkEnd w:id="0"/>
    <w:p>
      <w:rPr>
        <w:vanish w:val="on"/>
      </w:rPr>
    </w:p>
    <w:tbl>
      <w:tblPr>
        <w:tblInd w:w="0" w:type="dxa"/>
        <w:tblStyle w:val="TableGrid"/>
        <w:tblOverlap w:val="Never"/>
        <w:tblW w:w="14470" w:type="dxa"/>
        <w:tblLook w:val="01E0"/>
        <w:tblLayout w:type="fixed"/>
        <w:tblBorders/>
      </w:tblPr>
      <w:tblGrid>
        <w:gridCol w:val="6466"/>
        <w:gridCol w:val="2267"/>
        <w:gridCol w:val="737"/>
        <w:gridCol w:val="1700"/>
        <w:gridCol w:val="1700"/>
        <w:gridCol w:val="1700"/>
      </w:tblGrid>
      <w:tr>
        <w:trPr>
          <w:trHeight w:hRule="exact" w:val="566.9291338582677"/>
          <w:tblHeader w:val="on"/>
        </w:trPr>
        <w:tc>
          <w:tcPr>
            <w:tcW w:w="646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center"/>
            <w:noWrap w:val="off"/>
          </w:tcPr>
          <w:pPr>
            <w:jc w:val="center"/>
          </w:pPr>
          <w:p>
            <w:pPr>
              <w:spacing w:before="0" w:after="0"/>
              <w:jc w:val="center"/>
              <w:bidi w:val="off"/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  <w:jc w:val="center"/>
              </w:rPr>
              <w:t xml:space="preserve">Наименование</w:t>
            </w:r>
          </w:p>
          <w:p>
            <w:pPr>
              <w:spacing w:line="1" w:lineRule="auto"/>
            </w:pPr>
          </w:p>
        </w:tc>
        <w:tc>
          <w:tcPr>
            <w:tcW w:w="22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center"/>
            <w:noWrap w:val="off"/>
          </w:tcPr>
          <w:pPr>
            <w:jc w:val="center"/>
          </w:pPr>
          <w:p>
            <w:pPr>
              <w:spacing w:before="0" w:after="0"/>
              <w:jc w:val="center"/>
              <w:bidi w:val="off"/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  <w:jc w:val="center"/>
              </w:rPr>
              <w:t xml:space="preserve">ЦСР</w:t>
            </w:r>
          </w:p>
          <w:p>
            <w:pPr>
              <w:spacing w:line="1" w:lineRule="auto"/>
            </w:pPr>
          </w:p>
        </w:tc>
        <w:tc>
          <w:tcPr>
            <w:tcW w:w="73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center"/>
            <w:noWrap w:val="off"/>
          </w:tcPr>
          <w:pPr>
            <w:jc w:val="center"/>
          </w:pPr>
          <w:p>
            <w:pPr>
              <w:spacing w:before="0" w:after="0"/>
              <w:jc w:val="center"/>
              <w:bidi w:val="off"/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  <w:jc w:val="center"/>
              </w:rPr>
              <w:t xml:space="preserve">ВР</w:t>
            </w:r>
          </w:p>
          <w:p>
            <w:pPr>
              <w:spacing w:line="1" w:lineRule="auto"/>
            </w:pPr>
          </w:p>
        </w:tc>
        <w:tc>
          <w:tcPr>
            <w:tcW w:w="510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center"/>
            <w:noWrap w:val="off"/>
          </w:tcPr>
          <w:pPr>
            <w:jc w:val="center"/>
          </w:pPr>
          <w:p>
            <w:pPr>
              <w:spacing w:before="0" w:after="0"/>
              <w:jc w:val="center"/>
              <w:bidi w:val="off"/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  <w:jc w:val="center"/>
              </w:rPr>
              <w:t xml:space="preserve">Сумма</w:t>
            </w:r>
          </w:p>
          <w:p>
            <w:pPr>
              <w:spacing w:line="1" w:lineRule="auto"/>
            </w:pPr>
          </w:p>
        </w:tc>
      </w:tr>
      <w:tr>
        <w:trPr>
          <w:trHeight w:hRule="exact" w:val="566.9291338582677"/>
          <w:tblHeader w:val="on"/>
        </w:trPr>
        <w:tc>
          <w:tcPr>
            <w:tcW w:w="6466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center"/>
            <w:noWrap w:val="off"/>
          </w:tcPr>
          <w:p>
            <w:pPr>
              <w:spacing w:line="1" w:lineRule="auto"/>
            </w:pPr>
          </w:p>
        </w:tc>
        <w:tc>
          <w:tcPr>
            <w:tcW w:w="2267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center"/>
            <w:noWrap w:val="off"/>
          </w:tcPr>
          <w:p>
            <w:pPr>
              <w:spacing w:line="1" w:lineRule="auto"/>
            </w:pPr>
          </w:p>
        </w:tc>
        <w:tc>
          <w:tcPr>
            <w:tcW w:w="737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center"/>
            <w:noWrap w:val="off"/>
          </w:tcPr>
          <w:p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center"/>
            <w:noWrap w:val="off"/>
          </w:tcPr>
          <w:pPr>
            <w:jc w:val="center"/>
          </w:pPr>
          <w:p>
            <w:pPr>
              <w:spacing w:before="0" w:after="0"/>
              <w:jc w:val="center"/>
              <w:bidi w:val="off"/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  <w:jc w:val="center"/>
              </w:rPr>
              <w:t xml:space="preserve">2026 год</w:t>
            </w:r>
          </w:p>
          <w:p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center"/>
            <w:noWrap w:val="off"/>
          </w:tcPr>
          <w:pPr>
            <w:jc w:val="center"/>
          </w:pPr>
          <w:p>
            <w:pPr>
              <w:spacing w:before="0" w:after="0"/>
              <w:jc w:val="center"/>
              <w:bidi w:val="off"/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  <w:jc w:val="center"/>
              </w:rPr>
              <w:t xml:space="preserve">2027 год</w:t>
            </w:r>
          </w:p>
          <w:p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center"/>
            <w:noWrap w:val="off"/>
          </w:tcPr>
          <w:pPr>
            <w:jc w:val="center"/>
          </w:pPr>
          <w:p>
            <w:pPr>
              <w:spacing w:before="0" w:after="0"/>
              <w:jc w:val="center"/>
              <w:bidi w:val="off"/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  <w:jc w:val="center"/>
              </w:rPr>
              <w:t xml:space="preserve">2028 год</w:t>
            </w:r>
          </w:p>
          <w:p>
            <w:pPr>
              <w:spacing w:line="1" w:lineRule="auto"/>
            </w:pPr>
          </w:p>
        </w:tc>
      </w:tr>
    </w:tbl>
    <w:bookmarkStart w:id="1" w:name="__bookmark_2"/>
    <w:bookmarkEnd w:id="1"/>
    <w:p>
      <w:rPr>
        <w:vanish w:val="on"/>
      </w:rPr>
    </w:p>
    <w:tbl>
      <w:tblPr>
        <w:tblInd w:w="0" w:type="dxa"/>
        <w:tblStyle w:val="TableGrid"/>
        <w:tblOverlap w:val="Never"/>
        <w:tblW w:w="14470" w:type="dxa"/>
        <w:tblLook w:val="01E0"/>
        <w:tblLayout w:type="fixed"/>
        <w:tblBorders/>
      </w:tblPr>
      <w:tblGrid>
        <w:gridCol w:val="6466"/>
        <w:gridCol w:val="2267"/>
        <w:gridCol w:val="737"/>
        <w:gridCol w:val="1700"/>
        <w:gridCol w:val="1700"/>
        <w:gridCol w:val="1700"/>
      </w:tblGrid>
      <w:tr>
        <w:trPr>
          <w:trHeight w:hRule="exact" w:val="374.17322834645665"/>
          <w:tblHeader w:val="on"/>
        </w:trPr>
        <w:tc>
          <w:tcPr>
            <w:tcW w:w="6466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80" w:type="dxa"/>
              <w:left w:w="80" w:type="dxa"/>
              <w:top w:w="80" w:type="dxa"/>
              <w:right w:w="80" w:type="dxa"/>
            </w:tcMar>
            <w:vAlign w:val="center"/>
            <w:noWrap w:val="off"/>
          </w:tcPr>
          <w:pPr>
            <w:jc w:val="center"/>
          </w:pPr>
          <w:p>
            <w:pPr>
              <w:spacing w:before="0" w:after="0"/>
              <w:jc w:val="center"/>
              <w:bidi w:val="off"/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  <w:jc w:val="center"/>
              </w:rPr>
              <w:t xml:space="preserve">1</w:t>
            </w:r>
          </w:p>
          <w:p>
            <w:pPr>
              <w:spacing w:line="1" w:lineRule="auto"/>
            </w:pPr>
          </w:p>
        </w:tc>
        <w:tc>
          <w:tcPr>
            <w:tcW w:w="226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80" w:type="dxa"/>
              <w:left w:w="80" w:type="dxa"/>
              <w:top w:w="80" w:type="dxa"/>
              <w:right w:w="80" w:type="dxa"/>
            </w:tcMar>
            <w:vAlign w:val="center"/>
            <w:noWrap w:val="off"/>
          </w:tcPr>
          <w:pPr>
            <w:jc w:val="center"/>
          </w:pPr>
          <w:p>
            <w:pPr>
              <w:spacing w:before="0" w:after="0"/>
              <w:jc w:val="center"/>
              <w:bidi w:val="off"/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  <w:jc w:val="center"/>
              </w:rPr>
              <w:t xml:space="preserve">2</w:t>
            </w:r>
          </w:p>
          <w:p>
            <w:pPr>
              <w:spacing w:line="1" w:lineRule="auto"/>
            </w:pPr>
          </w:p>
        </w:tc>
        <w:tc>
          <w:tcPr>
            <w:tcW w:w="73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80" w:type="dxa"/>
              <w:left w:w="80" w:type="dxa"/>
              <w:top w:w="80" w:type="dxa"/>
              <w:right w:w="80" w:type="dxa"/>
            </w:tcMar>
            <w:vAlign w:val="center"/>
            <w:noWrap w:val="off"/>
          </w:tcPr>
          <w:pPr>
            <w:jc w:val="center"/>
          </w:pPr>
          <w:p>
            <w:pPr>
              <w:spacing w:before="0" w:after="0"/>
              <w:jc w:val="center"/>
              <w:bidi w:val="off"/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  <w:jc w:val="center"/>
              </w:rPr>
              <w:t xml:space="preserve">3</w:t>
            </w:r>
          </w:p>
          <w:p>
            <w:pPr>
              <w:spacing w:line="1" w:lineRule="auto"/>
            </w:pP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80" w:type="dxa"/>
              <w:left w:w="80" w:type="dxa"/>
              <w:top w:w="80" w:type="dxa"/>
              <w:right w:w="80" w:type="dxa"/>
            </w:tcMar>
            <w:vAlign w:val="center"/>
            <w:noWrap w:val="off"/>
          </w:tcPr>
          <w:pPr>
            <w:jc w:val="center"/>
          </w:pPr>
          <w:p>
            <w:pPr>
              <w:spacing w:before="0" w:after="0"/>
              <w:jc w:val="center"/>
              <w:bidi w:val="off"/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  <w:jc w:val="center"/>
              </w:rPr>
              <w:t xml:space="preserve">4</w:t>
            </w:r>
          </w:p>
          <w:p>
            <w:pPr>
              <w:spacing w:line="1" w:lineRule="auto"/>
            </w:pP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80" w:type="dxa"/>
              <w:left w:w="80" w:type="dxa"/>
              <w:top w:w="80" w:type="dxa"/>
              <w:right w:w="80" w:type="dxa"/>
            </w:tcMar>
            <w:vAlign w:val="center"/>
            <w:noWrap w:val="off"/>
          </w:tcPr>
          <w:pPr>
            <w:jc w:val="center"/>
          </w:pPr>
          <w:p>
            <w:pPr>
              <w:spacing w:before="0" w:after="0"/>
              <w:jc w:val="center"/>
              <w:bidi w:val="off"/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  <w:jc w:val="center"/>
              </w:rPr>
              <w:t xml:space="preserve">5</w:t>
            </w:r>
          </w:p>
          <w:p>
            <w:pPr>
              <w:spacing w:line="1" w:lineRule="auto"/>
            </w:pP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80" w:type="dxa"/>
              <w:left w:w="80" w:type="dxa"/>
              <w:top w:w="80" w:type="dxa"/>
              <w:right w:w="80" w:type="dxa"/>
            </w:tcMar>
            <w:vAlign w:val="center"/>
            <w:noWrap w:val="off"/>
          </w:tcPr>
          <w:pPr>
            <w:jc w:val="center"/>
          </w:pPr>
          <w:p>
            <w:pPr>
              <w:spacing w:before="0" w:after="0"/>
              <w:jc w:val="center"/>
              <w:bidi w:val="off"/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  <w:jc w:val="center"/>
              </w:rPr>
              <w:t xml:space="preserve">6</w:t>
            </w:r>
          </w:p>
          <w:p>
            <w:pPr>
              <w:spacing w:line="1" w:lineRule="auto"/>
            </w:pPr>
          </w:p>
        </w:tc>
      </w:tr>
      <w:tr>
        <w:trPr/>
        <w:tc>
          <w:tcPr>
            <w:tcW w:w="6466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160" w:type="dxa"/>
              <w:top w:w="0" w:type="dxa"/>
              <w:right w:w="80" w:type="dxa"/>
            </w:tcMar>
            <w:vAlign w:val="top"/>
            <w:noWrap w:val="off"/>
          </w:tcPr>
          <w:p>
            <w:pPr>
              <w:spacing w:lineRule="exact" w:line="280"/>
              <w:jc w:val="lef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</w:rPr>
              <w:t xml:space="preserve">ВСЕГО</w:t>
            </w:r>
          </w:p>
        </w:tc>
        <w:tc>
          <w:tcPr>
            <w:tcW w:w="226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</w:rPr>
            </w:pPr>
          </w:p>
        </w:tc>
        <w:tc>
          <w:tcPr>
            <w:tcW w:w="73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</w:rPr>
            </w:pP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</w:rPr>
              <w:t xml:space="preserve">8 340 364,00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</w:rPr>
              <w:t xml:space="preserve">8 491 460,00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</w:rPr>
              <w:t xml:space="preserve">8 701 644,00</w:t>
            </w:r>
          </w:p>
        </w:tc>
      </w:tr>
      <w:tr>
        <w:trPr/>
        <w:tc>
          <w:tcPr>
            <w:tcW w:w="6466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160" w:type="dxa"/>
              <w:top w:w="0" w:type="dxa"/>
              <w:right w:w="80" w:type="dxa"/>
            </w:tcMar>
            <w:vAlign w:val="top"/>
            <w:noWrap w:val="off"/>
          </w:tcPr>
          <w:p>
            <w:pPr>
              <w:spacing w:lineRule="exact" w:line="280"/>
              <w:jc w:val="lef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</w:rPr>
              <w:t xml:space="preserve">Муниципальная программа "Совершенствование деятельности органов местного самоуправления муниципального района Иглинский район Республики Башкортостан"</w:t>
            </w:r>
          </w:p>
        </w:tc>
        <w:tc>
          <w:tcPr>
            <w:tcW w:w="226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</w:rPr>
              <w:t xml:space="preserve">01 0 00 00000</w:t>
            </w:r>
          </w:p>
        </w:tc>
        <w:tc>
          <w:tcPr>
            <w:tcW w:w="73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</w:rPr>
            </w:pP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</w:rPr>
              <w:t xml:space="preserve">5 037 040,00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</w:rPr>
              <w:t xml:space="preserve">5 077 836,00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</w:rPr>
              <w:t xml:space="preserve">5 167 020,00</w:t>
            </w:r>
          </w:p>
        </w:tc>
      </w:tr>
      <w:tr>
        <w:trPr/>
        <w:tc>
          <w:tcPr>
            <w:tcW w:w="6466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160" w:type="dxa"/>
              <w:top w:w="0" w:type="dxa"/>
              <w:right w:w="80" w:type="dxa"/>
            </w:tcMar>
            <w:vAlign w:val="top"/>
            <w:noWrap w:val="off"/>
          </w:tcPr>
          <w:p>
            <w:pPr>
              <w:spacing w:lineRule="exact" w:line="280"/>
              <w:jc w:val="lef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Подпрограмма "Развитие муниципальной службы в органах местного самоуправления муниципального района Иглинский район Республики Башкортостан"</w:t>
            </w:r>
          </w:p>
        </w:tc>
        <w:tc>
          <w:tcPr>
            <w:tcW w:w="226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01 1 00 00000</w:t>
            </w:r>
          </w:p>
        </w:tc>
        <w:tc>
          <w:tcPr>
            <w:tcW w:w="73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5 037 040,00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5 077 836,00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5 167 020,00</w:t>
            </w:r>
          </w:p>
        </w:tc>
      </w:tr>
      <w:tr>
        <w:trPr/>
        <w:tc>
          <w:tcPr>
            <w:tcW w:w="6466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160" w:type="dxa"/>
              <w:top w:w="0" w:type="dxa"/>
              <w:right w:w="80" w:type="dxa"/>
            </w:tcMar>
            <w:vAlign w:val="top"/>
            <w:noWrap w:val="off"/>
          </w:tcPr>
          <w:p>
            <w:pPr>
              <w:spacing w:lineRule="exact" w:line="280"/>
              <w:jc w:val="lef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Основное мероприятие "Содержание аппаратов органов местного самоуправления"</w:t>
            </w:r>
          </w:p>
        </w:tc>
        <w:tc>
          <w:tcPr>
            <w:tcW w:w="226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01 1 02 00000</w:t>
            </w:r>
          </w:p>
        </w:tc>
        <w:tc>
          <w:tcPr>
            <w:tcW w:w="73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5 037 040,00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5 077 836,00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5 167 020,00</w:t>
            </w:r>
          </w:p>
        </w:tc>
      </w:tr>
      <w:tr>
        <w:trPr/>
        <w:tc>
          <w:tcPr>
            <w:tcW w:w="6466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160" w:type="dxa"/>
              <w:top w:w="0" w:type="dxa"/>
              <w:right w:w="80" w:type="dxa"/>
            </w:tcMar>
            <w:vAlign w:val="top"/>
            <w:noWrap w:val="off"/>
          </w:tcPr>
          <w:p>
            <w:pPr>
              <w:spacing w:lineRule="exact" w:line="280"/>
              <w:jc w:val="lef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Глава муниципального образования</w:t>
            </w:r>
          </w:p>
        </w:tc>
        <w:tc>
          <w:tcPr>
            <w:tcW w:w="226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01 1 02 02030</w:t>
            </w:r>
          </w:p>
        </w:tc>
        <w:tc>
          <w:tcPr>
            <w:tcW w:w="73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1 421 000,00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1 421 000,00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1 421 000,00</w:t>
            </w:r>
          </w:p>
        </w:tc>
      </w:tr>
      <w:tr>
        <w:trPr/>
        <w:tc>
          <w:tcPr>
            <w:tcW w:w="6466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160" w:type="dxa"/>
              <w:top w:w="0" w:type="dxa"/>
              <w:right w:w="80" w:type="dxa"/>
            </w:tcMar>
            <w:vAlign w:val="top"/>
            <w:noWrap w:val="off"/>
          </w:tcPr>
          <w:p>
            <w:pPr>
              <w:spacing w:lineRule="exact" w:line="280"/>
              <w:jc w:val="lef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6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01 1 02 02030</w:t>
            </w:r>
          </w:p>
        </w:tc>
        <w:tc>
          <w:tcPr>
            <w:tcW w:w="73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100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1 421 000,00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1 421 000,00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1 421 000,00</w:t>
            </w:r>
          </w:p>
        </w:tc>
      </w:tr>
      <w:tr>
        <w:trPr/>
        <w:tc>
          <w:tcPr>
            <w:tcW w:w="6466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160" w:type="dxa"/>
              <w:top w:w="0" w:type="dxa"/>
              <w:right w:w="80" w:type="dxa"/>
            </w:tcMar>
            <w:vAlign w:val="top"/>
            <w:noWrap w:val="off"/>
          </w:tcPr>
          <w:p>
            <w:pPr>
              <w:spacing w:lineRule="exact" w:line="280"/>
              <w:jc w:val="lef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Аппараты органов государственной власти Республики Башкортостан</w:t>
            </w:r>
          </w:p>
        </w:tc>
        <w:tc>
          <w:tcPr>
            <w:tcW w:w="226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01 1 02 02040</w:t>
            </w:r>
          </w:p>
        </w:tc>
        <w:tc>
          <w:tcPr>
            <w:tcW w:w="73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3 326 500,00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3 333 500,00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3 333 500,00</w:t>
            </w:r>
          </w:p>
        </w:tc>
      </w:tr>
      <w:tr>
        <w:trPr/>
        <w:tc>
          <w:tcPr>
            <w:tcW w:w="6466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160" w:type="dxa"/>
              <w:top w:w="0" w:type="dxa"/>
              <w:right w:w="80" w:type="dxa"/>
            </w:tcMar>
            <w:vAlign w:val="top"/>
            <w:noWrap w:val="off"/>
          </w:tcPr>
          <w:p>
            <w:pPr>
              <w:spacing w:lineRule="exact" w:line="280"/>
              <w:jc w:val="lef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6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01 1 02 02040</w:t>
            </w:r>
          </w:p>
        </w:tc>
        <w:tc>
          <w:tcPr>
            <w:tcW w:w="73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100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2 855 000,00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2 855 000,00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2 855 000,00</w:t>
            </w:r>
          </w:p>
        </w:tc>
      </w:tr>
      <w:tr>
        <w:trPr/>
        <w:tc>
          <w:tcPr>
            <w:tcW w:w="6466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160" w:type="dxa"/>
              <w:top w:w="0" w:type="dxa"/>
              <w:right w:w="80" w:type="dxa"/>
            </w:tcMar>
            <w:vAlign w:val="top"/>
            <w:noWrap w:val="off"/>
          </w:tcPr>
          <w:p>
            <w:pPr>
              <w:spacing w:lineRule="exact" w:line="280"/>
              <w:jc w:val="lef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01 1 02 02040</w:t>
            </w:r>
          </w:p>
        </w:tc>
        <w:tc>
          <w:tcPr>
            <w:tcW w:w="73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200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457 000,02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464 000,02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464 000,02</w:t>
            </w:r>
          </w:p>
        </w:tc>
      </w:tr>
      <w:tr>
        <w:trPr/>
        <w:tc>
          <w:tcPr>
            <w:tcW w:w="6466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160" w:type="dxa"/>
              <w:top w:w="0" w:type="dxa"/>
              <w:right w:w="80" w:type="dxa"/>
            </w:tcMar>
            <w:vAlign w:val="top"/>
            <w:noWrap w:val="off"/>
          </w:tcPr>
          <w:p>
            <w:pPr>
              <w:spacing w:lineRule="exact" w:line="280"/>
              <w:jc w:val="lef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Иные бюджетные ассигнования</w:t>
            </w:r>
          </w:p>
        </w:tc>
        <w:tc>
          <w:tcPr>
            <w:tcW w:w="226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01 1 02 02040</w:t>
            </w:r>
          </w:p>
        </w:tc>
        <w:tc>
          <w:tcPr>
            <w:tcW w:w="73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800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14 499,98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14 499,98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14 499,98</w:t>
            </w:r>
          </w:p>
        </w:tc>
      </w:tr>
      <w:tr>
        <w:trPr/>
        <w:tc>
          <w:tcPr>
            <w:tcW w:w="6466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160" w:type="dxa"/>
              <w:top w:w="0" w:type="dxa"/>
              <w:right w:w="80" w:type="dxa"/>
            </w:tcMar>
            <w:vAlign w:val="top"/>
            <w:noWrap w:val="off"/>
          </w:tcPr>
          <w:p>
            <w:pPr>
              <w:spacing w:lineRule="exact" w:line="280"/>
              <w:jc w:val="lef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26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01 1 02 51180</w:t>
            </w:r>
          </w:p>
        </w:tc>
        <w:tc>
          <w:tcPr>
            <w:tcW w:w="73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289 540,00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323 336,00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412 520,00</w:t>
            </w:r>
          </w:p>
        </w:tc>
      </w:tr>
      <w:tr>
        <w:trPr/>
        <w:tc>
          <w:tcPr>
            <w:tcW w:w="6466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160" w:type="dxa"/>
              <w:top w:w="0" w:type="dxa"/>
              <w:right w:w="80" w:type="dxa"/>
            </w:tcMar>
            <w:vAlign w:val="top"/>
            <w:noWrap w:val="off"/>
          </w:tcPr>
          <w:p>
            <w:pPr>
              <w:spacing w:lineRule="exact" w:line="280"/>
              <w:jc w:val="lef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6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01 1 02 51180</w:t>
            </w:r>
          </w:p>
        </w:tc>
        <w:tc>
          <w:tcPr>
            <w:tcW w:w="73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100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269 540,00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303 336,00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392 520,00</w:t>
            </w:r>
          </w:p>
        </w:tc>
      </w:tr>
      <w:tr>
        <w:trPr/>
        <w:tc>
          <w:tcPr>
            <w:tcW w:w="6466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160" w:type="dxa"/>
              <w:top w:w="0" w:type="dxa"/>
              <w:right w:w="80" w:type="dxa"/>
            </w:tcMar>
            <w:vAlign w:val="top"/>
            <w:noWrap w:val="off"/>
          </w:tcPr>
          <w:p>
            <w:pPr>
              <w:spacing w:lineRule="exact" w:line="280"/>
              <w:jc w:val="lef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01 1 02 51180</w:t>
            </w:r>
          </w:p>
        </w:tc>
        <w:tc>
          <w:tcPr>
            <w:tcW w:w="73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200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20 000,00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20 000,00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20 000,00</w:t>
            </w:r>
          </w:p>
        </w:tc>
      </w:tr>
      <w:tr>
        <w:trPr/>
        <w:tc>
          <w:tcPr>
            <w:tcW w:w="6466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160" w:type="dxa"/>
              <w:top w:w="0" w:type="dxa"/>
              <w:right w:w="80" w:type="dxa"/>
            </w:tcMar>
            <w:vAlign w:val="top"/>
            <w:noWrap w:val="off"/>
          </w:tcPr>
          <w:p>
            <w:pPr>
              <w:spacing w:lineRule="exact" w:line="280"/>
              <w:jc w:val="lef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</w:rPr>
              <w:t xml:space="preserve">Муниципальная программа "Комплексное развитие систем транспортной инфраструктуры на территории муниципального района Иглинский район Республики Башкортостан"</w:t>
            </w:r>
          </w:p>
        </w:tc>
        <w:tc>
          <w:tcPr>
            <w:tcW w:w="226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</w:rPr>
              <w:t xml:space="preserve">04 0 00 00000</w:t>
            </w:r>
          </w:p>
        </w:tc>
        <w:tc>
          <w:tcPr>
            <w:tcW w:w="73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</w:rPr>
            </w:pP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</w:rPr>
              <w:t xml:space="preserve">900 000,00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</w:rPr>
              <w:t xml:space="preserve">900 000,00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</w:rPr>
              <w:t xml:space="preserve">900 000,00</w:t>
            </w:r>
          </w:p>
        </w:tc>
      </w:tr>
      <w:tr>
        <w:trPr/>
        <w:tc>
          <w:tcPr>
            <w:tcW w:w="6466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160" w:type="dxa"/>
              <w:top w:w="0" w:type="dxa"/>
              <w:right w:w="80" w:type="dxa"/>
            </w:tcMar>
            <w:vAlign w:val="top"/>
            <w:noWrap w:val="off"/>
          </w:tcPr>
          <w:p>
            <w:pPr>
              <w:spacing w:lineRule="exact" w:line="280"/>
              <w:jc w:val="lef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Подпрограмма "Комплексное развитие систем транспортной инфраструктуры на территории муниципального района Иглинский район Республики Башкортостан"</w:t>
            </w:r>
          </w:p>
        </w:tc>
        <w:tc>
          <w:tcPr>
            <w:tcW w:w="226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04 1 00 00000</w:t>
            </w:r>
          </w:p>
        </w:tc>
        <w:tc>
          <w:tcPr>
            <w:tcW w:w="73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900 000,00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900 000,00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900 000,00</w:t>
            </w:r>
          </w:p>
        </w:tc>
      </w:tr>
      <w:tr>
        <w:trPr/>
        <w:tc>
          <w:tcPr>
            <w:tcW w:w="6466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160" w:type="dxa"/>
              <w:top w:w="0" w:type="dxa"/>
              <w:right w:w="80" w:type="dxa"/>
            </w:tcMar>
            <w:vAlign w:val="top"/>
            <w:noWrap w:val="off"/>
          </w:tcPr>
          <w:p>
            <w:pPr>
              <w:spacing w:lineRule="exact" w:line="280"/>
              <w:jc w:val="lef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Основное мероприятие "Содержание автомобильных дорог общего пользования и сооружений на них"</w:t>
            </w:r>
          </w:p>
        </w:tc>
        <w:tc>
          <w:tcPr>
            <w:tcW w:w="226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04 1 01 00000</w:t>
            </w:r>
          </w:p>
        </w:tc>
        <w:tc>
          <w:tcPr>
            <w:tcW w:w="73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900 000,00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900 000,00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900 000,00</w:t>
            </w:r>
          </w:p>
        </w:tc>
      </w:tr>
      <w:tr>
        <w:trPr/>
        <w:tc>
          <w:tcPr>
            <w:tcW w:w="6466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160" w:type="dxa"/>
              <w:top w:w="0" w:type="dxa"/>
              <w:right w:w="80" w:type="dxa"/>
            </w:tcMar>
            <w:vAlign w:val="top"/>
            <w:noWrap w:val="off"/>
          </w:tcPr>
          <w:p>
            <w:pPr>
              <w:spacing w:lineRule="exact" w:line="280"/>
              <w:jc w:val="lef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Содержание автомобильных дорог</w:t>
            </w:r>
          </w:p>
        </w:tc>
        <w:tc>
          <w:tcPr>
            <w:tcW w:w="226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04 1 01 9Д010</w:t>
            </w:r>
          </w:p>
        </w:tc>
        <w:tc>
          <w:tcPr>
            <w:tcW w:w="73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900 000,00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900 000,00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900 000,00</w:t>
            </w:r>
          </w:p>
        </w:tc>
      </w:tr>
      <w:tr>
        <w:trPr/>
        <w:tc>
          <w:tcPr>
            <w:tcW w:w="6466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160" w:type="dxa"/>
              <w:top w:w="0" w:type="dxa"/>
              <w:right w:w="80" w:type="dxa"/>
            </w:tcMar>
            <w:vAlign w:val="top"/>
            <w:noWrap w:val="off"/>
          </w:tcPr>
          <w:p>
            <w:pPr>
              <w:spacing w:lineRule="exact" w:line="280"/>
              <w:jc w:val="lef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04 1 01 9Д010</w:t>
            </w:r>
          </w:p>
        </w:tc>
        <w:tc>
          <w:tcPr>
            <w:tcW w:w="73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200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900 000,00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900 000,00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900 000,00</w:t>
            </w:r>
          </w:p>
        </w:tc>
      </w:tr>
      <w:tr>
        <w:trPr/>
        <w:tc>
          <w:tcPr>
            <w:tcW w:w="6466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160" w:type="dxa"/>
              <w:top w:w="0" w:type="dxa"/>
              <w:right w:w="80" w:type="dxa"/>
            </w:tcMar>
            <w:vAlign w:val="top"/>
            <w:noWrap w:val="off"/>
          </w:tcPr>
          <w:p>
            <w:pPr>
              <w:spacing w:lineRule="exact" w:line="280"/>
              <w:jc w:val="lef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</w:rPr>
              <w:t xml:space="preserve">Муниципальная программа "Благоустройство в сельских поселениях муниципального района Иглинский район Республики Башкортостан"</w:t>
            </w:r>
          </w:p>
        </w:tc>
        <w:tc>
          <w:tcPr>
            <w:tcW w:w="226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</w:rPr>
              <w:t xml:space="preserve">05 0 00 00000</w:t>
            </w:r>
          </w:p>
        </w:tc>
        <w:tc>
          <w:tcPr>
            <w:tcW w:w="73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</w:rPr>
            </w:pP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</w:rPr>
              <w:t xml:space="preserve">1 789 324,00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</w:rPr>
              <w:t xml:space="preserve">1 780 424,00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</w:rPr>
              <w:t xml:space="preserve">1 726 124,00</w:t>
            </w:r>
          </w:p>
        </w:tc>
      </w:tr>
      <w:tr>
        <w:trPr/>
        <w:tc>
          <w:tcPr>
            <w:tcW w:w="6466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160" w:type="dxa"/>
              <w:top w:w="0" w:type="dxa"/>
              <w:right w:w="80" w:type="dxa"/>
            </w:tcMar>
            <w:vAlign w:val="top"/>
            <w:noWrap w:val="off"/>
          </w:tcPr>
          <w:p>
            <w:pPr>
              <w:spacing w:lineRule="exact" w:line="280"/>
              <w:jc w:val="lef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Подпрограмма "Благоустройство в сельских поселениях муниципального района Иглинский район Республики Башкортостан"</w:t>
            </w:r>
          </w:p>
        </w:tc>
        <w:tc>
          <w:tcPr>
            <w:tcW w:w="226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05 1 00 00000</w:t>
            </w:r>
          </w:p>
        </w:tc>
        <w:tc>
          <w:tcPr>
            <w:tcW w:w="73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1 789 324,00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1 780 424,00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1 726 124,00</w:t>
            </w:r>
          </w:p>
        </w:tc>
      </w:tr>
      <w:tr>
        <w:trPr/>
        <w:tc>
          <w:tcPr>
            <w:tcW w:w="6466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160" w:type="dxa"/>
              <w:top w:w="0" w:type="dxa"/>
              <w:right w:w="80" w:type="dxa"/>
            </w:tcMar>
            <w:vAlign w:val="top"/>
            <w:noWrap w:val="off"/>
          </w:tcPr>
          <w:p>
            <w:pPr>
              <w:spacing w:lineRule="exact" w:line="280"/>
              <w:jc w:val="lef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Основное мероприятие "Благоустройство в сельских поселениях муниципального района Иглинский район Республики Башкортостан"</w:t>
            </w:r>
          </w:p>
        </w:tc>
        <w:tc>
          <w:tcPr>
            <w:tcW w:w="226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05 1 01 00000</w:t>
            </w:r>
          </w:p>
        </w:tc>
        <w:tc>
          <w:tcPr>
            <w:tcW w:w="73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1 789 324,00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1 780 424,00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1 726 124,00</w:t>
            </w:r>
          </w:p>
        </w:tc>
      </w:tr>
      <w:tr>
        <w:trPr/>
        <w:tc>
          <w:tcPr>
            <w:tcW w:w="6466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160" w:type="dxa"/>
              <w:top w:w="0" w:type="dxa"/>
              <w:right w:w="80" w:type="dxa"/>
            </w:tcMar>
            <w:vAlign w:val="top"/>
            <w:noWrap w:val="off"/>
          </w:tcPr>
          <w:p>
            <w:pPr>
              <w:spacing w:lineRule="exact" w:line="280"/>
              <w:jc w:val="lef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Благоустройство в сельских поселениях муниципального района Иглинский район Республики Башкортостан</w:t>
            </w:r>
          </w:p>
        </w:tc>
        <w:tc>
          <w:tcPr>
            <w:tcW w:w="226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05 1 01 06050</w:t>
            </w:r>
          </w:p>
        </w:tc>
        <w:tc>
          <w:tcPr>
            <w:tcW w:w="73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1 069 324,00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1 080 424,00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1 026 124,00</w:t>
            </w:r>
          </w:p>
        </w:tc>
      </w:tr>
      <w:tr>
        <w:trPr/>
        <w:tc>
          <w:tcPr>
            <w:tcW w:w="6466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160" w:type="dxa"/>
              <w:top w:w="0" w:type="dxa"/>
              <w:right w:w="80" w:type="dxa"/>
            </w:tcMar>
            <w:vAlign w:val="top"/>
            <w:noWrap w:val="off"/>
          </w:tcPr>
          <w:p>
            <w:pPr>
              <w:spacing w:lineRule="exact" w:line="280"/>
              <w:jc w:val="lef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6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05 1 01 06050</w:t>
            </w:r>
          </w:p>
        </w:tc>
        <w:tc>
          <w:tcPr>
            <w:tcW w:w="73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100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311 000,00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311 000,00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311 000,00</w:t>
            </w:r>
          </w:p>
        </w:tc>
      </w:tr>
      <w:tr>
        <w:trPr/>
        <w:tc>
          <w:tcPr>
            <w:tcW w:w="6466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160" w:type="dxa"/>
              <w:top w:w="0" w:type="dxa"/>
              <w:right w:w="80" w:type="dxa"/>
            </w:tcMar>
            <w:vAlign w:val="top"/>
            <w:noWrap w:val="off"/>
          </w:tcPr>
          <w:p>
            <w:pPr>
              <w:spacing w:lineRule="exact" w:line="280"/>
              <w:jc w:val="lef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05 1 01 06050</w:t>
            </w:r>
          </w:p>
        </w:tc>
        <w:tc>
          <w:tcPr>
            <w:tcW w:w="73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200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758 324,00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769 424,00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715 124,00</w:t>
            </w:r>
          </w:p>
        </w:tc>
      </w:tr>
      <w:tr>
        <w:trPr/>
        <w:tc>
          <w:tcPr>
            <w:tcW w:w="6466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160" w:type="dxa"/>
              <w:top w:w="0" w:type="dxa"/>
              <w:right w:w="80" w:type="dxa"/>
            </w:tcMar>
            <w:vAlign w:val="top"/>
            <w:noWrap w:val="off"/>
          </w:tcPr>
          <w:p>
            <w:pPr>
              <w:spacing w:lineRule="exact" w:line="280"/>
              <w:jc w:val="lef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Мероприятия в области экологии и природопользования</w:t>
            </w:r>
          </w:p>
        </w:tc>
        <w:tc>
          <w:tcPr>
            <w:tcW w:w="226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05 1 01 41200</w:t>
            </w:r>
          </w:p>
        </w:tc>
        <w:tc>
          <w:tcPr>
            <w:tcW w:w="73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220 000,00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200 000,00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200 000,00</w:t>
            </w:r>
          </w:p>
        </w:tc>
      </w:tr>
      <w:tr>
        <w:trPr/>
        <w:tc>
          <w:tcPr>
            <w:tcW w:w="6466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160" w:type="dxa"/>
              <w:top w:w="0" w:type="dxa"/>
              <w:right w:w="80" w:type="dxa"/>
            </w:tcMar>
            <w:vAlign w:val="top"/>
            <w:noWrap w:val="off"/>
          </w:tcPr>
          <w:p>
            <w:pPr>
              <w:spacing w:lineRule="exact" w:line="280"/>
              <w:jc w:val="lef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05 1 01 41200</w:t>
            </w:r>
          </w:p>
        </w:tc>
        <w:tc>
          <w:tcPr>
            <w:tcW w:w="73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200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220 000,00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200 000,00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200 000,00</w:t>
            </w:r>
          </w:p>
        </w:tc>
      </w:tr>
      <w:tr>
        <w:trPr/>
        <w:tc>
          <w:tcPr>
            <w:tcW w:w="6466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160" w:type="dxa"/>
              <w:top w:w="0" w:type="dxa"/>
              <w:right w:w="80" w:type="dxa"/>
            </w:tcMar>
            <w:vAlign w:val="top"/>
            <w:noWrap w:val="off"/>
          </w:tcPr>
          <w:p>
            <w:pPr>
              <w:spacing w:lineRule="exact" w:line="280"/>
              <w:jc w:val="lef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226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05 1 01 74040</w:t>
            </w:r>
          </w:p>
        </w:tc>
        <w:tc>
          <w:tcPr>
            <w:tcW w:w="73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500 000,00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500 000,00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500 000,00</w:t>
            </w:r>
          </w:p>
        </w:tc>
      </w:tr>
      <w:tr>
        <w:trPr/>
        <w:tc>
          <w:tcPr>
            <w:tcW w:w="6466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160" w:type="dxa"/>
              <w:top w:w="0" w:type="dxa"/>
              <w:right w:w="80" w:type="dxa"/>
            </w:tcMar>
            <w:vAlign w:val="top"/>
            <w:noWrap w:val="off"/>
          </w:tcPr>
          <w:p>
            <w:pPr>
              <w:spacing w:lineRule="exact" w:line="280"/>
              <w:jc w:val="lef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05 1 01 74040</w:t>
            </w:r>
          </w:p>
        </w:tc>
        <w:tc>
          <w:tcPr>
            <w:tcW w:w="73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200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500 000,00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500 000,00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500 000,00</w:t>
            </w:r>
          </w:p>
        </w:tc>
      </w:tr>
      <w:tr>
        <w:trPr/>
        <w:tc>
          <w:tcPr>
            <w:tcW w:w="6466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160" w:type="dxa"/>
              <w:top w:w="0" w:type="dxa"/>
              <w:right w:w="80" w:type="dxa"/>
            </w:tcMar>
            <w:vAlign w:val="top"/>
            <w:noWrap w:val="off"/>
          </w:tcPr>
          <w:p>
            <w:pPr>
              <w:spacing w:lineRule="exact" w:line="280"/>
              <w:jc w:val="lef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</w:rPr>
              <w:t xml:space="preserve">Муниципальная программа "Развитие культуры и искусства в муниципальном районе Иглинский район Республики Башкортостан"</w:t>
            </w:r>
          </w:p>
        </w:tc>
        <w:tc>
          <w:tcPr>
            <w:tcW w:w="226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</w:rPr>
              <w:t xml:space="preserve">08 0 00 00000</w:t>
            </w:r>
          </w:p>
        </w:tc>
        <w:tc>
          <w:tcPr>
            <w:tcW w:w="73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</w:rPr>
            </w:pP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</w:rPr>
              <w:t xml:space="preserve">150 000,00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</w:rPr>
              <w:t xml:space="preserve">100 000,00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</w:rPr>
              <w:t xml:space="preserve">100 000,00</w:t>
            </w:r>
          </w:p>
        </w:tc>
      </w:tr>
      <w:tr>
        <w:trPr/>
        <w:tc>
          <w:tcPr>
            <w:tcW w:w="6466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160" w:type="dxa"/>
              <w:top w:w="0" w:type="dxa"/>
              <w:right w:w="80" w:type="dxa"/>
            </w:tcMar>
            <w:vAlign w:val="top"/>
            <w:noWrap w:val="off"/>
          </w:tcPr>
          <w:p>
            <w:pPr>
              <w:spacing w:lineRule="exact" w:line="280"/>
              <w:jc w:val="lef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Подпрограмма "Развитие культурно-досуговой деятельности в муниципальном районе Иглинский район"</w:t>
            </w:r>
          </w:p>
        </w:tc>
        <w:tc>
          <w:tcPr>
            <w:tcW w:w="226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08 1 00 00000</w:t>
            </w:r>
          </w:p>
        </w:tc>
        <w:tc>
          <w:tcPr>
            <w:tcW w:w="73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150 000,00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100 000,00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100 000,00</w:t>
            </w:r>
          </w:p>
        </w:tc>
      </w:tr>
      <w:tr>
        <w:trPr/>
        <w:tc>
          <w:tcPr>
            <w:tcW w:w="6466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160" w:type="dxa"/>
              <w:top w:w="0" w:type="dxa"/>
              <w:right w:w="80" w:type="dxa"/>
            </w:tcMar>
            <w:vAlign w:val="top"/>
            <w:noWrap w:val="off"/>
          </w:tcPr>
          <w:p>
            <w:pPr>
              <w:spacing w:lineRule="exact" w:line="280"/>
              <w:jc w:val="lef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Основное мероприятие "Содержание клубной сети муниципального района Иглинский район"</w:t>
            </w:r>
          </w:p>
        </w:tc>
        <w:tc>
          <w:tcPr>
            <w:tcW w:w="226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08 1 01 00000</w:t>
            </w:r>
          </w:p>
        </w:tc>
        <w:tc>
          <w:tcPr>
            <w:tcW w:w="73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150 000,00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100 000,00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100 000,00</w:t>
            </w:r>
          </w:p>
        </w:tc>
      </w:tr>
      <w:tr>
        <w:trPr/>
        <w:tc>
          <w:tcPr>
            <w:tcW w:w="6466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160" w:type="dxa"/>
              <w:top w:w="0" w:type="dxa"/>
              <w:right w:w="80" w:type="dxa"/>
            </w:tcMar>
            <w:vAlign w:val="top"/>
            <w:noWrap w:val="off"/>
          </w:tcPr>
          <w:p>
            <w:pPr>
              <w:spacing w:lineRule="exact" w:line="280"/>
              <w:jc w:val="lef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Мероприятия в сфере культуры, кинематографии</w:t>
            </w:r>
          </w:p>
        </w:tc>
        <w:tc>
          <w:tcPr>
            <w:tcW w:w="226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08 1 01 45870</w:t>
            </w:r>
          </w:p>
        </w:tc>
        <w:tc>
          <w:tcPr>
            <w:tcW w:w="73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150 000,00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100 000,00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100 000,00</w:t>
            </w:r>
          </w:p>
        </w:tc>
      </w:tr>
      <w:tr>
        <w:trPr/>
        <w:tc>
          <w:tcPr>
            <w:tcW w:w="6466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160" w:type="dxa"/>
              <w:top w:w="0" w:type="dxa"/>
              <w:right w:w="80" w:type="dxa"/>
            </w:tcMar>
            <w:vAlign w:val="top"/>
            <w:noWrap w:val="off"/>
          </w:tcPr>
          <w:p>
            <w:pPr>
              <w:spacing w:lineRule="exact" w:line="280"/>
              <w:jc w:val="lef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08 1 01 45870</w:t>
            </w:r>
          </w:p>
        </w:tc>
        <w:tc>
          <w:tcPr>
            <w:tcW w:w="73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200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150 000,00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100 000,00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100 000,00</w:t>
            </w:r>
          </w:p>
        </w:tc>
      </w:tr>
      <w:tr>
        <w:trPr/>
        <w:tc>
          <w:tcPr>
            <w:tcW w:w="6466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160" w:type="dxa"/>
              <w:top w:w="0" w:type="dxa"/>
              <w:right w:w="80" w:type="dxa"/>
            </w:tcMar>
            <w:vAlign w:val="top"/>
            <w:noWrap w:val="off"/>
          </w:tcPr>
          <w:p>
            <w:pPr>
              <w:spacing w:lineRule="exact" w:line="280"/>
              <w:jc w:val="lef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</w:rPr>
              <w:t xml:space="preserve">Муниципальная программа "Развитие физической культуры и спорта в муниципальном районе Иглинский район Республики Башкортостан"</w:t>
            </w:r>
          </w:p>
        </w:tc>
        <w:tc>
          <w:tcPr>
            <w:tcW w:w="226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</w:rPr>
              <w:t xml:space="preserve">11 0 00 00000</w:t>
            </w:r>
          </w:p>
        </w:tc>
        <w:tc>
          <w:tcPr>
            <w:tcW w:w="73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</w:rPr>
            </w:pP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</w:rPr>
              <w:t xml:space="preserve">50 000,00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</w:rPr>
              <w:t xml:space="preserve">50 000,00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</w:rPr>
              <w:t xml:space="preserve">50 000,00</w:t>
            </w:r>
          </w:p>
        </w:tc>
      </w:tr>
      <w:tr>
        <w:trPr/>
        <w:tc>
          <w:tcPr>
            <w:tcW w:w="6466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160" w:type="dxa"/>
              <w:top w:w="0" w:type="dxa"/>
              <w:right w:w="80" w:type="dxa"/>
            </w:tcMar>
            <w:vAlign w:val="top"/>
            <w:noWrap w:val="off"/>
          </w:tcPr>
          <w:p>
            <w:pPr>
              <w:spacing w:lineRule="exact" w:line="280"/>
              <w:jc w:val="lef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Подпрограмма "Развитие физической культуры и спорта в муниципальном районе Иглинский район Республики Башкортостан"</w:t>
            </w:r>
          </w:p>
        </w:tc>
        <w:tc>
          <w:tcPr>
            <w:tcW w:w="226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11 1 00 00000</w:t>
            </w:r>
          </w:p>
        </w:tc>
        <w:tc>
          <w:tcPr>
            <w:tcW w:w="73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50 000,00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50 000,00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50 000,00</w:t>
            </w:r>
          </w:p>
        </w:tc>
      </w:tr>
      <w:tr>
        <w:trPr/>
        <w:tc>
          <w:tcPr>
            <w:tcW w:w="6466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160" w:type="dxa"/>
              <w:top w:w="0" w:type="dxa"/>
              <w:right w:w="80" w:type="dxa"/>
            </w:tcMar>
            <w:vAlign w:val="top"/>
            <w:noWrap w:val="off"/>
          </w:tcPr>
          <w:p>
            <w:pPr>
              <w:spacing w:lineRule="exact" w:line="280"/>
              <w:jc w:val="lef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Основное мероприятие "Участие в спортивных мероприятиях"</w:t>
            </w:r>
          </w:p>
        </w:tc>
        <w:tc>
          <w:tcPr>
            <w:tcW w:w="226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11 1 01 00000</w:t>
            </w:r>
          </w:p>
        </w:tc>
        <w:tc>
          <w:tcPr>
            <w:tcW w:w="73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50 000,00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50 000,00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50 000,00</w:t>
            </w:r>
          </w:p>
        </w:tc>
      </w:tr>
      <w:tr>
        <w:trPr/>
        <w:tc>
          <w:tcPr>
            <w:tcW w:w="6466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160" w:type="dxa"/>
              <w:top w:w="0" w:type="dxa"/>
              <w:right w:w="80" w:type="dxa"/>
            </w:tcMar>
            <w:vAlign w:val="top"/>
            <w:noWrap w:val="off"/>
          </w:tcPr>
          <w:p>
            <w:pPr>
              <w:spacing w:lineRule="exact" w:line="280"/>
              <w:jc w:val="lef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Реализация планов официальных физкультурных мероприятий</w:t>
            </w:r>
          </w:p>
        </w:tc>
        <w:tc>
          <w:tcPr>
            <w:tcW w:w="226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11 1 01 41870</w:t>
            </w:r>
          </w:p>
        </w:tc>
        <w:tc>
          <w:tcPr>
            <w:tcW w:w="73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50 000,00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50 000,00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50 000,00</w:t>
            </w:r>
          </w:p>
        </w:tc>
      </w:tr>
      <w:tr>
        <w:trPr/>
        <w:tc>
          <w:tcPr>
            <w:tcW w:w="6466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160" w:type="dxa"/>
              <w:top w:w="0" w:type="dxa"/>
              <w:right w:w="80" w:type="dxa"/>
            </w:tcMar>
            <w:vAlign w:val="top"/>
            <w:noWrap w:val="off"/>
          </w:tcPr>
          <w:p>
            <w:pPr>
              <w:spacing w:lineRule="exact" w:line="280"/>
              <w:jc w:val="lef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11 1 01 41870</w:t>
            </w:r>
          </w:p>
        </w:tc>
        <w:tc>
          <w:tcPr>
            <w:tcW w:w="73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200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50 000,00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50 000,00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50 000,00</w:t>
            </w:r>
          </w:p>
        </w:tc>
      </w:tr>
      <w:tr>
        <w:trPr/>
        <w:tc>
          <w:tcPr>
            <w:tcW w:w="6466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160" w:type="dxa"/>
              <w:top w:w="0" w:type="dxa"/>
              <w:right w:w="80" w:type="dxa"/>
            </w:tcMar>
            <w:vAlign w:val="top"/>
            <w:noWrap w:val="off"/>
          </w:tcPr>
          <w:p>
            <w:pPr>
              <w:spacing w:lineRule="exact" w:line="280"/>
              <w:jc w:val="lef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</w:rPr>
              <w:t xml:space="preserve">Муниципальная программа "Обеспечение первичных мер пожарной безопасности на территорииях сельских поселений муниципального района Иглинский район Республики Башкортостан"</w:t>
            </w:r>
          </w:p>
        </w:tc>
        <w:tc>
          <w:tcPr>
            <w:tcW w:w="226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</w:rPr>
              <w:t xml:space="preserve">18 0 00 00000</w:t>
            </w:r>
          </w:p>
        </w:tc>
        <w:tc>
          <w:tcPr>
            <w:tcW w:w="73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</w:rPr>
            </w:pP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</w:rPr>
              <w:t xml:space="preserve">414 000,00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</w:rPr>
              <w:t xml:space="preserve">414 000,00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</w:rPr>
              <w:t xml:space="preserve">414 000,00</w:t>
            </w:r>
          </w:p>
        </w:tc>
      </w:tr>
      <w:tr>
        <w:trPr/>
        <w:tc>
          <w:tcPr>
            <w:tcW w:w="6466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160" w:type="dxa"/>
              <w:top w:w="0" w:type="dxa"/>
              <w:right w:w="80" w:type="dxa"/>
            </w:tcMar>
            <w:vAlign w:val="top"/>
            <w:noWrap w:val="off"/>
          </w:tcPr>
          <w:p>
            <w:pPr>
              <w:spacing w:lineRule="exact" w:line="280"/>
              <w:jc w:val="lef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Подпрограмма "Обеспечение первичных мер пожарной безопасности на территориях сельских поселений муниципального района Иглинский район Республики Башкортостан"</w:t>
            </w:r>
          </w:p>
        </w:tc>
        <w:tc>
          <w:tcPr>
            <w:tcW w:w="226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18 1 00 00000</w:t>
            </w:r>
          </w:p>
        </w:tc>
        <w:tc>
          <w:tcPr>
            <w:tcW w:w="73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414 000,00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414 000,00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414 000,00</w:t>
            </w:r>
          </w:p>
        </w:tc>
      </w:tr>
      <w:tr>
        <w:trPr/>
        <w:tc>
          <w:tcPr>
            <w:tcW w:w="6466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160" w:type="dxa"/>
              <w:top w:w="0" w:type="dxa"/>
              <w:right w:w="80" w:type="dxa"/>
            </w:tcMar>
            <w:vAlign w:val="top"/>
            <w:noWrap w:val="off"/>
          </w:tcPr>
          <w:p>
            <w:pPr>
              <w:spacing w:lineRule="exact" w:line="280"/>
              <w:jc w:val="lef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Основное мероприятие "Обеспечение первичных мер пожарной безопасности на территориях сельских поселений муниципального района Иглинский район Республики Башкортостан"</w:t>
            </w:r>
          </w:p>
        </w:tc>
        <w:tc>
          <w:tcPr>
            <w:tcW w:w="226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18 1 01 00000</w:t>
            </w:r>
          </w:p>
        </w:tc>
        <w:tc>
          <w:tcPr>
            <w:tcW w:w="73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414 000,00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414 000,00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414 000,00</w:t>
            </w:r>
          </w:p>
        </w:tc>
      </w:tr>
      <w:tr>
        <w:trPr/>
        <w:tc>
          <w:tcPr>
            <w:tcW w:w="6466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160" w:type="dxa"/>
              <w:top w:w="0" w:type="dxa"/>
              <w:right w:w="80" w:type="dxa"/>
            </w:tcMar>
            <w:vAlign w:val="top"/>
            <w:noWrap w:val="off"/>
          </w:tcPr>
          <w:p>
            <w:pPr>
              <w:spacing w:lineRule="exact" w:line="280"/>
              <w:jc w:val="lef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Мероприятия по развитию инфраструктуры объектов противопожарной службы</w:t>
            </w:r>
          </w:p>
        </w:tc>
        <w:tc>
          <w:tcPr>
            <w:tcW w:w="226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18 1 01 24300</w:t>
            </w:r>
          </w:p>
        </w:tc>
        <w:tc>
          <w:tcPr>
            <w:tcW w:w="73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414 000,00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414 000,00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414 000,00</w:t>
            </w:r>
          </w:p>
        </w:tc>
      </w:tr>
      <w:tr>
        <w:trPr/>
        <w:tc>
          <w:tcPr>
            <w:tcW w:w="6466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160" w:type="dxa"/>
              <w:top w:w="0" w:type="dxa"/>
              <w:right w:w="80" w:type="dxa"/>
            </w:tcMar>
            <w:vAlign w:val="top"/>
            <w:noWrap w:val="off"/>
          </w:tcPr>
          <w:p>
            <w:pPr>
              <w:spacing w:lineRule="exact" w:line="280"/>
              <w:jc w:val="lef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18 1 01 24300</w:t>
            </w:r>
          </w:p>
        </w:tc>
        <w:tc>
          <w:tcPr>
            <w:tcW w:w="73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200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414 000,00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414 000,00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414 000,00</w:t>
            </w:r>
          </w:p>
        </w:tc>
      </w:tr>
      <w:tr>
        <w:trPr/>
        <w:tc>
          <w:tcPr>
            <w:tcW w:w="6466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160" w:type="dxa"/>
              <w:top w:w="0" w:type="dxa"/>
              <w:right w:w="80" w:type="dxa"/>
            </w:tcMar>
            <w:vAlign w:val="top"/>
            <w:noWrap w:val="off"/>
          </w:tcPr>
          <w:p>
            <w:pPr>
              <w:spacing w:lineRule="exact" w:line="280"/>
              <w:jc w:val="lef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</w:rPr>
              <w:t xml:space="preserve">Непрограммные расходы</w:t>
            </w:r>
          </w:p>
        </w:tc>
        <w:tc>
          <w:tcPr>
            <w:tcW w:w="226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</w:rPr>
              <w:t xml:space="preserve">99 0 00 00000</w:t>
            </w:r>
          </w:p>
        </w:tc>
        <w:tc>
          <w:tcPr>
            <w:tcW w:w="73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</w:rPr>
            </w:pP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</w:rPr>
            </w:pP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</w:rPr>
              <w:t xml:space="preserve">169 200,00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</w:rPr>
              <w:t xml:space="preserve">344 500,00</w:t>
            </w:r>
          </w:p>
        </w:tc>
      </w:tr>
      <w:tr>
        <w:trPr/>
        <w:tc>
          <w:tcPr>
            <w:tcW w:w="6466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160" w:type="dxa"/>
              <w:top w:w="0" w:type="dxa"/>
              <w:right w:w="80" w:type="dxa"/>
            </w:tcMar>
            <w:vAlign w:val="top"/>
            <w:noWrap w:val="off"/>
          </w:tcPr>
          <w:p>
            <w:pPr>
              <w:spacing w:lineRule="exact" w:line="280"/>
              <w:jc w:val="lef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Непрограммные расходы</w:t>
            </w:r>
          </w:p>
        </w:tc>
        <w:tc>
          <w:tcPr>
            <w:tcW w:w="226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99 1 00 00000</w:t>
            </w:r>
          </w:p>
        </w:tc>
        <w:tc>
          <w:tcPr>
            <w:tcW w:w="73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169 200,00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344 500,00</w:t>
            </w:r>
          </w:p>
        </w:tc>
      </w:tr>
      <w:tr>
        <w:trPr/>
        <w:tc>
          <w:tcPr>
            <w:tcW w:w="6466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160" w:type="dxa"/>
              <w:top w:w="0" w:type="dxa"/>
              <w:right w:w="80" w:type="dxa"/>
            </w:tcMar>
            <w:vAlign w:val="top"/>
            <w:noWrap w:val="off"/>
          </w:tcPr>
          <w:p>
            <w:pPr>
              <w:spacing w:lineRule="exact" w:line="280"/>
              <w:jc w:val="lef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Непрограммные расходы</w:t>
            </w:r>
          </w:p>
        </w:tc>
        <w:tc>
          <w:tcPr>
            <w:tcW w:w="226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99 1 01 00000</w:t>
            </w:r>
          </w:p>
        </w:tc>
        <w:tc>
          <w:tcPr>
            <w:tcW w:w="73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169 200,00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344 500,00</w:t>
            </w:r>
          </w:p>
        </w:tc>
      </w:tr>
      <w:tr>
        <w:trPr/>
        <w:tc>
          <w:tcPr>
            <w:tcW w:w="6466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160" w:type="dxa"/>
              <w:top w:w="0" w:type="dxa"/>
              <w:right w:w="80" w:type="dxa"/>
            </w:tcMar>
            <w:vAlign w:val="top"/>
            <w:noWrap w:val="off"/>
          </w:tcPr>
          <w:p>
            <w:pPr>
              <w:spacing w:lineRule="exact" w:line="280"/>
              <w:jc w:val="lef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Условно утвержденные расходы</w:t>
            </w:r>
          </w:p>
        </w:tc>
        <w:tc>
          <w:tcPr>
            <w:tcW w:w="226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99 1 01 99999</w:t>
            </w:r>
          </w:p>
        </w:tc>
        <w:tc>
          <w:tcPr>
            <w:tcW w:w="73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169 200,00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344 500,00</w:t>
            </w:r>
          </w:p>
        </w:tc>
      </w:tr>
      <w:tr>
        <w:trPr/>
        <w:tc>
          <w:tcPr>
            <w:tcW w:w="6466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160" w:type="dxa"/>
              <w:top w:w="0" w:type="dxa"/>
              <w:right w:w="80" w:type="dxa"/>
            </w:tcMar>
            <w:vAlign w:val="top"/>
            <w:noWrap w:val="off"/>
          </w:tcPr>
          <w:p>
            <w:pPr>
              <w:spacing w:lineRule="exact" w:line="280"/>
              <w:jc w:val="lef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</w:p>
        </w:tc>
        <w:tc>
          <w:tcPr>
            <w:tcW w:w="226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99 1 01 99999</w:t>
            </w:r>
          </w:p>
        </w:tc>
        <w:tc>
          <w:tcPr>
            <w:tcW w:w="73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900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169 200,00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344 500,00</w:t>
            </w:r>
          </w:p>
        </w:tc>
      </w:tr>
    </w:tbl>
    <w:sectPr>
      <w:titlePg/>
      <w:headerReference w:type="default" r:id="rId3"/>
      <w:titlePg/>
      <w:footerReference r:id="rId4"/>
      <w:pgSz w:w="16837" w:h="11905" w:orient="landscape"/>
      <w:pgMar w:top="1133" w:bottom="1133" w:left="1417" w:right="850" w:header="566" w:footer="0"/>
      <w:pgBorders w:offsetFrom="page"/>
    </w:sectPr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4785" w:type="dxa"/>
      <w:tblLook w:val="01E0"/>
      <w:tblLayout w:type="fixed"/>
    </w:tblPr>
    <w:tr>
      <w:trPr/>
      <w:tc>
        <w:tcPr>
          <w:tcW w:w="14785" w:type="dxa"/>
        </w:tcPr>
        <w:p>
          <w:pPr>
            <w:spacing w:line="1" w:lineRule="auto"/>
          </w:pP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4785" w:type="dxa"/>
      <w:tblLook w:val="01E0"/>
      <w:tblLayout w:type="fixed"/>
    </w:tblPr>
    <w:tblGrid>
      <w:gridCol w:val="14785"/>
    </w:tblGrid>
    <w:tr>
      <w:trPr/>
      <w:tc>
        <w:tcPr>
          <w:tcW w:w="14785" w:type="dxa"/>
        </w:tcPr>
        <w:p>
          <w:pPr>
            <w:jc w:val="center"/>
            <w:pBdr/>
            <w:bidi w:val="off"/>
            <w:rPr>
              <w:color w:val="000000"/>
              <w:rFonts w:ascii="Times New Roman" w:eastAsia="Times New Roman" w:hAnsi="Times New Roman" w:cs="Times New Roman"/>
              <w:sz w:val="20"/>
              <w:szCs w:val="20"/>
              <w:spacing w:val="0"/>
            </w:rPr>
          </w:pPr>
          <w:r>
            <w:rFonts w:ascii="Times New Roman" w:eastAsia="Times New Roman" w:hAnsi="Times New Roman" w:cs="Times New Roman"/>
            <w:sz w:val="20"/>
            <w:szCs w:val="20"/>
            <w:spacing w:val="0"/>
            <w:fldChar w:fldCharType="begin"/>
          </w:r>
          <w:r>
            <w:rPr>
              <w:color w:val="000000"/>
              <w:rFonts w:ascii="Times New Roman" w:eastAsia="Times New Roman" w:hAnsi="Times New Roman" w:cs="Times New Roman"/>
              <w:sz w:val="20"/>
              <w:szCs w:val="20"/>
              <w:spacing w:val="0"/>
            </w:rPr>
            <w:instrText>PAGE</w:instrText>
          </w:r>
          <w:r>
            <w:rFonts w:ascii="Times New Roman" w:eastAsia="Times New Roman" w:hAnsi="Times New Roman" w:cs="Times New Roman"/>
            <w:sz w:val="20"/>
            <w:szCs w:val="20"/>
            <w:spacing w:val="0"/>
            <w:fldChar w:fldCharType="end"/>
          </w:r>
        </w:p>
        <w:p>
          <w:pPr>
            <w:spacing w:line="1" w:lineRule="auto"/>
          </w:pPr>
        </w:p>
      </w:tc>
    </w:tr>
  </w:tbl>
</w:hdr>
</file>

<file path=word/settings.xml><?xml version="1.0" encoding="utf-8"?>
<w:settings xmlns:w="http://schemas.openxmlformats.org/wordprocessingml/2006/main">
  <w:zoom w:percent="100"/>
  <w:displayBackgroundShape/>
  <w:view w:val="print"/>
  <w:autoHyphenation/>
</w:settings>
</file>

<file path=word/styles.xml><?xml version="1.0" encoding="utf-8"?>
<w:styles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style w:type="character" w:styleId="Hyperlink">
    <w:name w:val="Hyperlink"/>
    <w:rPr>
      <w:u w:val="single"/>
      <w:color w:val="0000ff"/>
    </w:rPr>
  </w:style>
  <w:style w:type="table" w:default="1" w:styleId="TableNormal">
    <w:name w:val="Normal Table"/>
    <w:uiPriority w:val="99"/>
    <w:semiHidden/>
    <w:unhiden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4" Type="http://schemas.openxmlformats.org/officeDocument/2006/relationships/footer" Target="footer1.xml"/><Relationship Id="rId1" Type="http://schemas.openxmlformats.org/officeDocument/2006/relationships/styles" Target="styles.xml"/></Relationships>
</file>

<file path=docProps/core.xml><?xml version="1.0" encoding="utf-8"?>
<cp:coreProperties xmlns:cp="http://schemas.openxmlformats.org/package/2006/metadata/core-properties" xmlns:dc="http://purl.org/dc/elements/1.1/">
  <dc:creator/>
  <dc:title/>
  <dc:description/>
  <dc:subject/>
</cp:coreProperties>
</file>