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07043" w:rsidRPr="007A594B" w:rsidTr="00263A40">
        <w:tc>
          <w:tcPr>
            <w:tcW w:w="4651" w:type="dxa"/>
          </w:tcPr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  <w:r w:rsidRPr="007A594B">
              <w:rPr>
                <w:rFonts w:ascii="TimBashk" w:eastAsia="Times New Roman" w:hAnsi="TimBashk" w:cs="Times New Roman"/>
                <w:lang w:eastAsia="ru-RU"/>
              </w:rPr>
              <w:t>БАШҠОРТОСТАН РЕСПУБЛИКА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Һ</w:t>
            </w:r>
            <w:proofErr w:type="gramStart"/>
            <w:r w:rsidRPr="007A594B">
              <w:rPr>
                <w:rFonts w:ascii="TimBashk" w:eastAsia="Times New Roman" w:hAnsi="TimBashk" w:cs="Times New Roman"/>
                <w:lang w:eastAsia="ru-RU"/>
              </w:rPr>
              <w:t>Ы</w:t>
            </w:r>
            <w:proofErr w:type="gramEnd"/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7A594B">
              <w:rPr>
                <w:rFonts w:ascii="TimBashk" w:eastAsia="Times New Roman" w:hAnsi="TimBashk" w:cs="Times New Roman"/>
                <w:lang w:eastAsia="ru-RU"/>
              </w:rPr>
              <w:t>ИГЛИН РАЙОНЫ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7A594B">
              <w:rPr>
                <w:rFonts w:ascii="TimBashk" w:eastAsia="Times New Roman" w:hAnsi="TimBashk" w:cs="Times New Roman"/>
                <w:lang w:eastAsia="ru-RU"/>
              </w:rPr>
              <w:t>МУНИЦИПАЛЬ РАЙОН</w:t>
            </w:r>
            <w:r w:rsidRPr="007A594B">
              <w:rPr>
                <w:rFonts w:ascii="TimBashk" w:eastAsia="Times New Roman" w:hAnsi="TimBashk" w:cs="Times New Roman"/>
                <w:lang w:val="be-BY" w:eastAsia="ru-RU"/>
              </w:rPr>
              <w:t>ЫНЫ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Ң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7A594B">
              <w:rPr>
                <w:rFonts w:ascii="TimBashk" w:eastAsia="Times New Roman" w:hAnsi="TimBashk" w:cs="Times New Roman"/>
                <w:lang w:val="be-BY" w:eastAsia="ru-RU"/>
              </w:rPr>
              <w:t>БАЛТИКА АУЫЛ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7A594B">
              <w:rPr>
                <w:rFonts w:ascii="TimBashk" w:eastAsia="Times New Roman" w:hAnsi="TimBashk" w:cs="Times New Roman"/>
                <w:lang w:val="be-BY" w:eastAsia="ru-RU"/>
              </w:rPr>
              <w:t xml:space="preserve"> СОВЕТЫ АУЫЛ БИЛ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7A594B">
              <w:rPr>
                <w:rFonts w:ascii="TimBashk" w:eastAsia="Times New Roman" w:hAnsi="TimBashk" w:cs="TimBashk"/>
                <w:lang w:val="be-BY" w:eastAsia="ru-RU"/>
              </w:rPr>
              <w:t>М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ӘҺ</w:t>
            </w:r>
            <w:r w:rsidRPr="007A594B">
              <w:rPr>
                <w:rFonts w:ascii="TimBashk" w:eastAsia="Times New Roman" w:hAnsi="TimBashk" w:cs="TimBashk"/>
                <w:lang w:val="be-BY" w:eastAsia="ru-RU"/>
              </w:rPr>
              <w:t>Е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7A594B">
              <w:rPr>
                <w:rFonts w:ascii="TimBashk" w:eastAsia="Times New Roman" w:hAnsi="TimBashk" w:cs="Times New Roman"/>
                <w:lang w:val="be-BY" w:eastAsia="ru-RU"/>
              </w:rPr>
              <w:t xml:space="preserve"> ХАКИМИ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7A594B">
              <w:rPr>
                <w:rFonts w:ascii="TimBashk" w:eastAsia="Times New Roman" w:hAnsi="TimBashk" w:cs="TimBashk"/>
                <w:lang w:val="be-BY" w:eastAsia="ru-RU"/>
              </w:rPr>
              <w:t>ТЕ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A594B">
              <w:rPr>
                <w:rFonts w:eastAsia="Times New Roman" w:cs="Times New Roman"/>
                <w:lang w:val="en-US" w:eastAsia="ru-RU"/>
              </w:rPr>
              <w:t>Y</w:t>
            </w:r>
            <w:r w:rsidRPr="007A594B">
              <w:rPr>
                <w:rFonts w:ascii="TimBashk" w:eastAsia="Times New Roman" w:hAnsi="TimBashk" w:cs="Times New Roman"/>
                <w:lang w:val="be-BY" w:eastAsia="ru-RU"/>
              </w:rPr>
              <w:t>ҙәк урамы,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43,</w:t>
            </w:r>
            <w:r w:rsidRPr="007A594B">
              <w:rPr>
                <w:rFonts w:ascii="TimBashk" w:eastAsia="Times New Roman" w:hAnsi="TimBashk" w:cs="Times New Roman"/>
                <w:lang w:val="be-BY" w:eastAsia="ru-RU"/>
              </w:rPr>
              <w:t xml:space="preserve"> Балтика ауылы,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452415</w:t>
            </w:r>
          </w:p>
        </w:tc>
        <w:tc>
          <w:tcPr>
            <w:tcW w:w="1800" w:type="dxa"/>
          </w:tcPr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</w:t>
            </w:r>
            <w:r w:rsidRPr="007A594B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E8D3BDE" wp14:editId="2B3E701E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4140" w:type="dxa"/>
          </w:tcPr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АДМИНИСТРАЦИЯ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СЕЛЬСКОГО ПОСЕЛЕНИЯ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eastAsia="ru-RU"/>
              </w:rPr>
              <w:t>БАЛТИЙСКИЙ</w:t>
            </w: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СЕЛЬСОВЕТ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МУНИЦИПАЛЬНОГО РАЙОНА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>ИГЛИНСКИЙ РАЙОН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eastAsia="ru-RU"/>
              </w:rPr>
              <w:t>РЕСПУБЛИКИ БАШКОРТОСТАН</w:t>
            </w: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043" w:rsidRPr="007A594B" w:rsidRDefault="00807043" w:rsidP="00263A4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A594B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ул. Центральная, 43,</w:t>
            </w:r>
            <w:r w:rsidRPr="007A594B">
              <w:rPr>
                <w:rFonts w:ascii="Times New Roman" w:eastAsia="Times New Roman" w:hAnsi="Times New Roman" w:cs="Times New Roman"/>
                <w:lang w:eastAsia="ru-RU"/>
              </w:rPr>
              <w:t xml:space="preserve"> с. Балтика,452415</w:t>
            </w:r>
          </w:p>
        </w:tc>
      </w:tr>
    </w:tbl>
    <w:p w:rsidR="00807043" w:rsidRPr="007A594B" w:rsidRDefault="00807043" w:rsidP="0080704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9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C7BE8" wp14:editId="018A2A35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807043" w:rsidRPr="007A594B" w:rsidTr="00263A40">
        <w:trPr>
          <w:trHeight w:val="1014"/>
        </w:trPr>
        <w:tc>
          <w:tcPr>
            <w:tcW w:w="3666" w:type="dxa"/>
          </w:tcPr>
          <w:p w:rsidR="00807043" w:rsidRPr="007A594B" w:rsidRDefault="00807043" w:rsidP="00263A40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Bashk" w:eastAsiaTheme="majorEastAsia" w:hAnsi="TimBashk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</w:pPr>
          </w:p>
          <w:p w:rsidR="00807043" w:rsidRPr="007A594B" w:rsidRDefault="00807043" w:rsidP="00263A40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</w:pPr>
            <w:r w:rsidRPr="007A594B">
              <w:rPr>
                <w:rFonts w:ascii="TimBashk" w:eastAsiaTheme="majorEastAsia" w:hAnsi="TimBashk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  <w:t>Ҡ</w:t>
            </w:r>
            <w:r w:rsidRPr="007A594B">
              <w:rPr>
                <w:rFonts w:ascii="Times New Roman" w:eastAsiaTheme="majorEastAsia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  <w:t>АРАР</w:t>
            </w:r>
          </w:p>
          <w:p w:rsidR="00807043" w:rsidRPr="007A594B" w:rsidRDefault="00807043" w:rsidP="00263A4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7043" w:rsidRPr="007A594B" w:rsidRDefault="00807043" w:rsidP="00C21E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«11</w:t>
            </w: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21E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2273" w:type="dxa"/>
          </w:tcPr>
          <w:p w:rsidR="00807043" w:rsidRPr="007A594B" w:rsidRDefault="00807043" w:rsidP="00263A4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07043" w:rsidRPr="007A594B" w:rsidRDefault="00807043" w:rsidP="00263A4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07043" w:rsidRPr="007A594B" w:rsidRDefault="00807043" w:rsidP="00263A4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07043" w:rsidRPr="007A594B" w:rsidRDefault="00D23BC8" w:rsidP="00D23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№06-35</w:t>
            </w:r>
          </w:p>
        </w:tc>
        <w:tc>
          <w:tcPr>
            <w:tcW w:w="3961" w:type="dxa"/>
          </w:tcPr>
          <w:p w:rsidR="00807043" w:rsidRPr="007A594B" w:rsidRDefault="00807043" w:rsidP="00263A40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</w:pPr>
          </w:p>
          <w:p w:rsidR="00807043" w:rsidRPr="007A594B" w:rsidRDefault="00807043" w:rsidP="00263A40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</w:pPr>
            <w:r w:rsidRPr="007A594B">
              <w:rPr>
                <w:rFonts w:ascii="Times New Roman" w:eastAsiaTheme="majorEastAsia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  <w:t>ПОСТАНОВЛЕНИЕ</w:t>
            </w:r>
          </w:p>
          <w:p w:rsidR="00807043" w:rsidRPr="007A594B" w:rsidRDefault="00807043" w:rsidP="0026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7043" w:rsidRDefault="00807043" w:rsidP="00263A4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21E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7A5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807043" w:rsidRDefault="00807043" w:rsidP="00263A4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7043" w:rsidRPr="007A594B" w:rsidRDefault="00807043" w:rsidP="00263A4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07043" w:rsidRPr="00D23BC8" w:rsidRDefault="00807043" w:rsidP="008070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</w:t>
      </w:r>
      <w:r w:rsidRPr="00D23BC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Плана мероприятий по защите прав потребителей </w:t>
      </w:r>
      <w:r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 сельского поселения </w:t>
      </w:r>
      <w:r w:rsidR="00C21E33"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Балтийский </w:t>
      </w:r>
      <w:r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сельсовет муниципального района </w:t>
      </w:r>
      <w:r w:rsidR="00C21E33"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Иглинский</w:t>
      </w:r>
      <w:r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807043" w:rsidRPr="00D23BC8" w:rsidRDefault="00807043" w:rsidP="008070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2020-202</w:t>
      </w:r>
      <w:r w:rsidR="00AB083E"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23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</w:t>
      </w:r>
    </w:p>
    <w:p w:rsidR="00807043" w:rsidRPr="008B1891" w:rsidRDefault="00807043" w:rsidP="008070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7043" w:rsidRPr="008B1891" w:rsidRDefault="00807043" w:rsidP="008070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7043" w:rsidRPr="008B1891" w:rsidRDefault="00807043" w:rsidP="00807043">
      <w:pPr>
        <w:shd w:val="clear" w:color="auto" w:fill="FFFFFF"/>
        <w:overflowPunct w:val="0"/>
        <w:autoSpaceDE w:val="0"/>
        <w:autoSpaceDN w:val="0"/>
        <w:adjustRightInd w:val="0"/>
        <w:spacing w:after="225" w:line="240" w:lineRule="auto"/>
        <w:ind w:right="-1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r w:rsidR="00AB08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Балтийский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 муниципального района </w:t>
      </w:r>
      <w:r w:rsidR="00AB08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Иглинский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</w:t>
      </w:r>
      <w:r w:rsidR="00AB08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Башкортостан </w:t>
      </w:r>
    </w:p>
    <w:p w:rsidR="00807043" w:rsidRPr="008B1891" w:rsidRDefault="00807043" w:rsidP="00807043">
      <w:pPr>
        <w:shd w:val="clear" w:color="auto" w:fill="FFFFFF"/>
        <w:overflowPunct w:val="0"/>
        <w:autoSpaceDE w:val="0"/>
        <w:autoSpaceDN w:val="0"/>
        <w:adjustRightInd w:val="0"/>
        <w:spacing w:after="225" w:line="240" w:lineRule="auto"/>
        <w:ind w:right="-1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</w:t>
      </w:r>
      <w:r w:rsidR="00AB08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807043" w:rsidRPr="008B1891" w:rsidRDefault="00807043" w:rsidP="0080704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План мероприятий по защите прав потребителей на территории  сельского поселения </w:t>
      </w:r>
      <w:r w:rsidR="00AB08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Балтийский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 муниципального района </w:t>
      </w:r>
      <w:r w:rsidR="00AB083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Иглинский 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район </w:t>
      </w:r>
      <w:r w:rsidRPr="008B18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Башкортостан (Прилагается).</w:t>
      </w:r>
    </w:p>
    <w:p w:rsidR="00807043" w:rsidRPr="008B1891" w:rsidRDefault="00807043" w:rsidP="0080704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Настоящее постановление подлежит обнародованию в установленном порядке и размещению на официальном сайте </w:t>
      </w:r>
      <w:r w:rsidR="00863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 Балтийский сельсовет муниципального района Иглинский</w:t>
      </w: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 Республики Башкортостан.</w:t>
      </w:r>
    </w:p>
    <w:p w:rsidR="00807043" w:rsidRPr="008B1891" w:rsidRDefault="00807043" w:rsidP="00807043">
      <w:pPr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8B189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3. Настоящее постановление вступает в силу на следующий день, после дня его официального обнародования.</w:t>
      </w:r>
    </w:p>
    <w:p w:rsidR="00807043" w:rsidRPr="008B1891" w:rsidRDefault="00807043" w:rsidP="00807043">
      <w:pPr>
        <w:overflowPunct w:val="0"/>
        <w:autoSpaceDE w:val="0"/>
        <w:autoSpaceDN w:val="0"/>
        <w:adjustRightInd w:val="0"/>
        <w:spacing w:after="0" w:line="240" w:lineRule="auto"/>
        <w:ind w:right="-1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8B189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4. </w:t>
      </w:r>
      <w:proofErr w:type="gramStart"/>
      <w:r w:rsidRPr="008B189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8B189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  оставляю за собой.</w:t>
      </w:r>
    </w:p>
    <w:p w:rsidR="00807043" w:rsidRPr="008B1891" w:rsidRDefault="00807043" w:rsidP="00807043">
      <w:pPr>
        <w:overflowPunct w:val="0"/>
        <w:autoSpaceDE w:val="0"/>
        <w:autoSpaceDN w:val="0"/>
        <w:adjustRightInd w:val="0"/>
        <w:spacing w:after="0" w:line="240" w:lineRule="auto"/>
        <w:ind w:right="-17"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</w:p>
    <w:p w:rsidR="00807043" w:rsidRPr="008B1891" w:rsidRDefault="00807043" w:rsidP="00807043">
      <w:pPr>
        <w:overflowPunct w:val="0"/>
        <w:autoSpaceDE w:val="0"/>
        <w:autoSpaceDN w:val="0"/>
        <w:adjustRightInd w:val="0"/>
        <w:spacing w:after="0" w:line="240" w:lineRule="auto"/>
        <w:ind w:right="-17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7043" w:rsidRDefault="00807043" w:rsidP="00807043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B189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сельского поселения</w:t>
      </w:r>
      <w:r w:rsidR="00863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proofErr w:type="spellStart"/>
      <w:r w:rsidR="00863D4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И.М.Бугвин</w:t>
      </w:r>
      <w:proofErr w:type="spellEnd"/>
    </w:p>
    <w:p w:rsidR="007F2448" w:rsidRDefault="007F2448" w:rsidP="00807043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448" w:rsidRDefault="007F2448" w:rsidP="00807043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448" w:rsidRDefault="007F2448" w:rsidP="00807043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448" w:rsidRDefault="007F2448" w:rsidP="00807043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F2448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Утвержден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F2448">
        <w:rPr>
          <w:rFonts w:ascii="Times New Roman" w:eastAsia="Times New Roman" w:hAnsi="Times New Roman" w:cs="Times New Roman"/>
          <w:sz w:val="24"/>
          <w:szCs w:val="26"/>
          <w:lang w:eastAsia="ru-RU"/>
        </w:rPr>
        <w:t>Постановлением главы сельского поселения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F2448">
        <w:rPr>
          <w:rFonts w:ascii="Times New Roman" w:eastAsia="Times New Roman" w:hAnsi="Times New Roman" w:cs="Times New Roman"/>
          <w:sz w:val="24"/>
          <w:szCs w:val="26"/>
          <w:lang w:eastAsia="ru-RU"/>
        </w:rPr>
        <w:t>Балтийский сельсовет муниципального района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F244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Иглинский район Республики Башкортостан 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right"/>
        <w:textAlignment w:val="baseline"/>
        <w:rPr>
          <w:rFonts w:ascii="Times New Roman" w:eastAsia="Times New Roman" w:hAnsi="Times New Roman" w:cs="Times New Roman"/>
          <w:sz w:val="10"/>
          <w:szCs w:val="12"/>
          <w:lang w:eastAsia="ru-RU"/>
        </w:rPr>
      </w:pPr>
      <w:r w:rsidRPr="007F244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от 11.06.2020 № </w:t>
      </w:r>
      <w:r w:rsidR="00D23BC8">
        <w:rPr>
          <w:rFonts w:ascii="Times New Roman" w:eastAsia="Times New Roman" w:hAnsi="Times New Roman" w:cs="Times New Roman"/>
          <w:sz w:val="24"/>
          <w:szCs w:val="26"/>
          <w:lang w:eastAsia="ru-RU"/>
        </w:rPr>
        <w:t>06-35</w:t>
      </w:r>
      <w:bookmarkStart w:id="0" w:name="_GoBack"/>
      <w:bookmarkEnd w:id="0"/>
    </w:p>
    <w:p w:rsid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F24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План мероприятий 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F24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 защите прав потребителей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Балтийский </w:t>
      </w:r>
      <w:r w:rsidRPr="007F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Иглинский</w:t>
      </w:r>
      <w:r w:rsidRPr="007F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   Республики Башкортостан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2020-20</w:t>
      </w:r>
      <w:r w:rsidRPr="00D23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</w:t>
      </w:r>
      <w:r w:rsidRPr="007F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:rsidR="007F2448" w:rsidRPr="007F2448" w:rsidRDefault="007F2448" w:rsidP="007F24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7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F2448" w:rsidRPr="007F2448" w:rsidTr="00263A40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сельсовет</w:t>
            </w:r>
          </w:p>
        </w:tc>
      </w:tr>
      <w:tr w:rsidR="007F2448" w:rsidRPr="007F2448" w:rsidTr="00263A40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Информирование и просвещение населения по вопросам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защиты прав потребителей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нормативно-правовых актах в сфере защиты прав потребителей,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 Интернет </w:t>
            </w:r>
            <w:proofErr w:type="gramStart"/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портале</w:t>
            </w:r>
            <w:proofErr w:type="gramEnd"/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защите прав потребителей Республики Башкортостан (</w:t>
            </w:r>
            <w:hyperlink r:id="rId7" w:history="1">
              <w:r w:rsidRPr="007F2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http://zpprb.org/</w:t>
              </w:r>
            </w:hyperlink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 w:rsidRPr="007F2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F2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F2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kachestvorb</w:t>
              </w:r>
              <w:proofErr w:type="spellEnd"/>
              <w:r w:rsidRPr="007F2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F2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сельсовет</w:t>
            </w: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Балтийский сельсовет,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F2448" w:rsidRPr="007F2448" w:rsidTr="00263A40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Оказание практической помощи населению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Балтийский сельсовет,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Балтийский сельсовет,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Балтийский сельсовет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Госкомитет РБ по торговле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225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Балтийский сельсовет</w:t>
            </w:r>
          </w:p>
        </w:tc>
      </w:tr>
      <w:tr w:rsidR="007F2448" w:rsidRPr="007F2448" w:rsidTr="00263A40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4. Взаимодействие администрации сельского поселения 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 w:rsidRPr="007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Балтийский сельсовет</w:t>
            </w:r>
          </w:p>
        </w:tc>
      </w:tr>
      <w:tr w:rsidR="007F2448" w:rsidRPr="007F2448" w:rsidTr="00263A40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взаимодействия с отделом </w:t>
            </w:r>
            <w:proofErr w:type="gramStart"/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прав потребителей Государственного комитета республики</w:t>
            </w:r>
            <w:proofErr w:type="gramEnd"/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Башкортостан по торговле и защите прав потребителей: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+7 (347) 218-09-78</w:t>
            </w:r>
          </w:p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15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F2448" w:rsidRPr="007F2448" w:rsidRDefault="007F2448" w:rsidP="007F2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Балтийский сельсовет</w:t>
            </w:r>
          </w:p>
        </w:tc>
      </w:tr>
    </w:tbl>
    <w:p w:rsidR="007F2448" w:rsidRPr="008B1891" w:rsidRDefault="007F2448" w:rsidP="00807043">
      <w:pPr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7F2448" w:rsidRPr="008B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1"/>
    <w:rsid w:val="006D6303"/>
    <w:rsid w:val="007F2448"/>
    <w:rsid w:val="00807043"/>
    <w:rsid w:val="00863D43"/>
    <w:rsid w:val="008B5E11"/>
    <w:rsid w:val="00AB083E"/>
    <w:rsid w:val="00B86DD5"/>
    <w:rsid w:val="00C21E33"/>
    <w:rsid w:val="00D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pp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cp:lastPrinted>2020-06-11T07:04:00Z</cp:lastPrinted>
  <dcterms:created xsi:type="dcterms:W3CDTF">2020-06-11T05:02:00Z</dcterms:created>
  <dcterms:modified xsi:type="dcterms:W3CDTF">2020-06-11T07:33:00Z</dcterms:modified>
</cp:coreProperties>
</file>