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Pr="00F7197B" w:rsidRDefault="00F7197B" w:rsidP="00F7197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</w:t>
      </w:r>
      <w:r w:rsidR="00D16ADB">
        <w:rPr>
          <w:b/>
          <w:szCs w:val="28"/>
        </w:rPr>
        <w:t xml:space="preserve">                   </w:t>
      </w:r>
    </w:p>
    <w:p w:rsidR="00D16ADB" w:rsidRPr="00590872" w:rsidRDefault="00D16ADB" w:rsidP="00D16ADB"/>
    <w:p w:rsidR="00D16ADB" w:rsidRPr="00770999" w:rsidRDefault="00D16ADB" w:rsidP="00F7197B">
      <w:pPr>
        <w:jc w:val="center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>
        <w:rPr>
          <w:b/>
          <w:sz w:val="28"/>
          <w:szCs w:val="28"/>
        </w:rPr>
        <w:t>19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F7197B">
        <w:rPr>
          <w:sz w:val="28"/>
        </w:rPr>
        <w:t>19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F7197B">
        <w:rPr>
          <w:sz w:val="28"/>
        </w:rPr>
        <w:t xml:space="preserve">19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Pr="00F7197B" w:rsidRDefault="00D16ADB" w:rsidP="00F7197B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  <w:r w:rsidR="00F7197B">
        <w:rPr>
          <w:sz w:val="28"/>
        </w:rPr>
        <w:t>(</w:t>
      </w:r>
      <w:r w:rsidRPr="00F7197B">
        <w:rPr>
          <w:sz w:val="28"/>
        </w:rPr>
        <w:t xml:space="preserve">председатель комиссии </w:t>
      </w:r>
      <w:r w:rsidR="00F7197B">
        <w:rPr>
          <w:sz w:val="28"/>
        </w:rPr>
        <w:t>Кот Н.Е.</w:t>
      </w:r>
      <w:r w:rsidRPr="00F7197B">
        <w:rPr>
          <w:sz w:val="28"/>
        </w:rPr>
        <w:t>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proofErr w:type="spellStart"/>
      <w:r w:rsidR="00F7197B">
        <w:rPr>
          <w:sz w:val="28"/>
          <w:szCs w:val="28"/>
        </w:rPr>
        <w:t>И.М.Бугвин</w:t>
      </w:r>
      <w:proofErr w:type="spellEnd"/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F7197B" w:rsidP="00D16ADB">
      <w:pPr>
        <w:jc w:val="both"/>
        <w:rPr>
          <w:sz w:val="28"/>
        </w:rPr>
      </w:pPr>
      <w:r>
        <w:rPr>
          <w:sz w:val="28"/>
        </w:rPr>
        <w:t xml:space="preserve">«23» марта </w:t>
      </w:r>
      <w:r w:rsidR="00D16ADB" w:rsidRPr="00770999">
        <w:rPr>
          <w:sz w:val="28"/>
        </w:rPr>
        <w:t xml:space="preserve"> 20</w:t>
      </w:r>
      <w:r>
        <w:rPr>
          <w:sz w:val="28"/>
        </w:rPr>
        <w:t>20</w:t>
      </w:r>
      <w:r w:rsidR="00D16ADB" w:rsidRPr="00770999">
        <w:rPr>
          <w:sz w:val="28"/>
        </w:rPr>
        <w:t xml:space="preserve"> г</w:t>
      </w:r>
      <w:r>
        <w:rPr>
          <w:sz w:val="28"/>
        </w:rPr>
        <w:t>ода</w:t>
      </w:r>
    </w:p>
    <w:p w:rsidR="00D16ADB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№ </w:t>
      </w:r>
      <w:r w:rsidR="003E6649">
        <w:rPr>
          <w:sz w:val="28"/>
        </w:rPr>
        <w:t>68</w:t>
      </w:r>
    </w:p>
    <w:p w:rsidR="006F320E" w:rsidRDefault="006F320E" w:rsidP="00D16ADB">
      <w:pPr>
        <w:jc w:val="both"/>
        <w:rPr>
          <w:sz w:val="28"/>
        </w:rPr>
      </w:pPr>
    </w:p>
    <w:p w:rsidR="006F320E" w:rsidRPr="00770999" w:rsidRDefault="006F320E" w:rsidP="00D16ADB">
      <w:pPr>
        <w:jc w:val="both"/>
        <w:rPr>
          <w:sz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3000"/>
        <w:gridCol w:w="2110"/>
        <w:gridCol w:w="1740"/>
        <w:gridCol w:w="2580"/>
      </w:tblGrid>
      <w:tr w:rsidR="006F320E" w:rsidRPr="006F320E" w:rsidTr="006F320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32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0"/>
                <w:szCs w:val="20"/>
              </w:rPr>
            </w:pPr>
            <w:r w:rsidRPr="006F320E">
              <w:rPr>
                <w:color w:val="000000"/>
                <w:sz w:val="20"/>
                <w:szCs w:val="20"/>
              </w:rPr>
              <w:t xml:space="preserve">       Приложение №1</w:t>
            </w:r>
          </w:p>
        </w:tc>
      </w:tr>
      <w:tr w:rsidR="006F320E" w:rsidRPr="006F320E" w:rsidTr="006F320E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  <w:r w:rsidRPr="006F320E">
              <w:rPr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  <w:r w:rsidRPr="006F320E">
              <w:rPr>
                <w:color w:val="000000"/>
                <w:sz w:val="20"/>
                <w:szCs w:val="20"/>
              </w:rPr>
              <w:t xml:space="preserve">к решению Совета сельского поселения Балтийский сельсовет муниципального района Иглинский район " Об исполнении бюджета сельского поселения Балтийский сельсовет муниципального района Иглинский район Республики Башкортостан" </w:t>
            </w:r>
          </w:p>
        </w:tc>
      </w:tr>
      <w:tr w:rsidR="006F320E" w:rsidRPr="006F320E" w:rsidTr="006F320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</w:tr>
      <w:tr w:rsidR="006F320E" w:rsidRPr="006F320E" w:rsidTr="006F320E">
        <w:trPr>
          <w:trHeight w:val="300"/>
        </w:trPr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  <w:r w:rsidRPr="006F320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</w:tr>
      <w:tr w:rsidR="006F320E" w:rsidRPr="006F320E" w:rsidTr="006F320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</w:tr>
      <w:tr w:rsidR="006F320E" w:rsidRPr="006F320E" w:rsidTr="006F320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0"/>
                <w:szCs w:val="20"/>
              </w:rPr>
            </w:pPr>
          </w:p>
        </w:tc>
      </w:tr>
      <w:tr w:rsidR="006F320E" w:rsidRPr="006F320E" w:rsidTr="006F320E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320E">
              <w:rPr>
                <w:rFonts w:ascii="Calibri" w:hAnsi="Calibri"/>
                <w:color w:val="000000"/>
                <w:sz w:val="22"/>
                <w:szCs w:val="22"/>
              </w:rPr>
              <w:t xml:space="preserve">от "23" марта 2020г.  №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  <w:bookmarkStart w:id="0" w:name="_GoBack"/>
            <w:bookmarkEnd w:id="0"/>
          </w:p>
        </w:tc>
      </w:tr>
      <w:tr w:rsidR="006F320E" w:rsidRPr="006F320E" w:rsidTr="006F320E">
        <w:trPr>
          <w:trHeight w:val="1020"/>
        </w:trPr>
        <w:tc>
          <w:tcPr>
            <w:tcW w:w="9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</w:rPr>
            </w:pPr>
            <w:r w:rsidRPr="006F320E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12 месяцев  2019 год</w:t>
            </w:r>
          </w:p>
        </w:tc>
      </w:tr>
      <w:tr w:rsidR="006F320E" w:rsidRPr="006F320E" w:rsidTr="006F320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320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6F320E" w:rsidRPr="006F320E" w:rsidTr="006F320E">
        <w:trPr>
          <w:trHeight w:val="315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Классификация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Уточненный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Отчет</w:t>
            </w:r>
          </w:p>
        </w:tc>
      </w:tr>
      <w:tr w:rsidR="006F320E" w:rsidRPr="006F320E" w:rsidTr="006F320E">
        <w:trPr>
          <w:trHeight w:val="645"/>
        </w:trPr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план на  2019 год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</w:rPr>
            </w:pPr>
            <w:r w:rsidRPr="006F320E">
              <w:rPr>
                <w:b/>
                <w:bCs/>
                <w:color w:val="000000"/>
              </w:rPr>
              <w:t>за 12 месяцев 2019 года</w:t>
            </w:r>
          </w:p>
        </w:tc>
      </w:tr>
      <w:tr w:rsidR="006F320E" w:rsidRPr="006F320E" w:rsidTr="006F320E">
        <w:trPr>
          <w:trHeight w:val="390"/>
        </w:trPr>
        <w:tc>
          <w:tcPr>
            <w:tcW w:w="49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320E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20E">
              <w:rPr>
                <w:b/>
                <w:bCs/>
                <w:color w:val="000000"/>
                <w:sz w:val="28"/>
                <w:szCs w:val="28"/>
              </w:rPr>
              <w:t>6 748 000,00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20E">
              <w:rPr>
                <w:b/>
                <w:bCs/>
                <w:color w:val="000000"/>
                <w:sz w:val="28"/>
                <w:szCs w:val="28"/>
              </w:rPr>
              <w:t>6 502 466,54</w:t>
            </w:r>
          </w:p>
        </w:tc>
      </w:tr>
      <w:tr w:rsidR="006F320E" w:rsidRPr="006F320E" w:rsidTr="006F320E">
        <w:trPr>
          <w:trHeight w:val="6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\1010200000\\\\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54 000,00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67 880,26</w:t>
            </w:r>
          </w:p>
        </w:tc>
      </w:tr>
      <w:tr w:rsidR="006F320E" w:rsidRPr="006F320E" w:rsidTr="006F320E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Единый сельхоз. налог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F320E">
              <w:rPr>
                <w:rFonts w:ascii="Calibri" w:hAnsi="Calibri"/>
                <w:color w:val="000000"/>
                <w:sz w:val="22"/>
                <w:szCs w:val="22"/>
              </w:rPr>
              <w:t>\1050301001\\\ \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15 000,00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15 387,60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\1060100000\\\\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171 000,00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171 982,94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\1060600000\\\\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1 954 000,00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1 956 041,57</w:t>
            </w:r>
          </w:p>
        </w:tc>
      </w:tr>
      <w:tr w:rsidR="006F320E" w:rsidRPr="006F320E" w:rsidTr="006F320E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 xml:space="preserve">Госпошлина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\1080402001000\\\\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2 650,00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F320E">
              <w:rPr>
                <w:color w:val="000000"/>
                <w:sz w:val="22"/>
                <w:szCs w:val="22"/>
              </w:rPr>
              <w:t>Аредная</w:t>
            </w:r>
            <w:proofErr w:type="spellEnd"/>
            <w:r w:rsidRPr="006F320E">
              <w:rPr>
                <w:color w:val="000000"/>
                <w:sz w:val="22"/>
                <w:szCs w:val="22"/>
              </w:rPr>
              <w:t xml:space="preserve"> плата за имущество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\1110503510\\\\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260 000,00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242 524,17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Денежные взыскания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\1165104002\\\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5 000,00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\1170500000\\\\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221 000,00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Субвенции бюджетам поселений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\2020000000\\\\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84 000,00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84 000,00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742 000,00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742 000,00</w:t>
            </w:r>
          </w:p>
        </w:tc>
      </w:tr>
      <w:tr w:rsidR="006F320E" w:rsidRPr="006F320E" w:rsidTr="006F320E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\2029005410\\\\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245 000,00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245 000,00</w:t>
            </w:r>
          </w:p>
        </w:tc>
      </w:tr>
      <w:tr w:rsidR="006F320E" w:rsidRPr="006F320E" w:rsidTr="006F320E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\2070503010\\\\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290 000,00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290 000,00</w:t>
            </w:r>
          </w:p>
        </w:tc>
      </w:tr>
      <w:tr w:rsidR="006F320E" w:rsidRPr="006F320E" w:rsidTr="006F320E">
        <w:trPr>
          <w:trHeight w:val="9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\202401410000\\\\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F320E" w:rsidRPr="006F320E" w:rsidTr="006F320E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\2024999100000\\\\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1 900 000,00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1 880 000,00</w:t>
            </w:r>
          </w:p>
        </w:tc>
      </w:tr>
      <w:tr w:rsidR="006F320E" w:rsidRPr="006F320E" w:rsidTr="006F320E">
        <w:trPr>
          <w:trHeight w:val="420"/>
        </w:trPr>
        <w:tc>
          <w:tcPr>
            <w:tcW w:w="49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F320E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20E">
              <w:rPr>
                <w:b/>
                <w:bCs/>
                <w:color w:val="000000"/>
                <w:sz w:val="28"/>
                <w:szCs w:val="28"/>
              </w:rPr>
              <w:t>7 639 420,33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20E">
              <w:rPr>
                <w:b/>
                <w:bCs/>
                <w:color w:val="000000"/>
                <w:sz w:val="28"/>
                <w:szCs w:val="28"/>
              </w:rPr>
              <w:t>7 134 126,08</w:t>
            </w:r>
          </w:p>
        </w:tc>
      </w:tr>
      <w:tr w:rsidR="006F320E" w:rsidRPr="006F320E" w:rsidTr="006F320E">
        <w:trPr>
          <w:trHeight w:val="84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\0102\\\\\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1 112 180,00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1 107 092,60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\0104\\\\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1 991 397,55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</w:rPr>
            </w:pPr>
            <w:r w:rsidRPr="006F320E">
              <w:rPr>
                <w:color w:val="000000"/>
              </w:rPr>
              <w:t>1 714 176,95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\0107\\\\\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22 000,00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22 000,00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\0203\\\\\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84 000,00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84 000,00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\0310\\\\\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268 600,00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265 253,77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\0314\\\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\0409\\\\\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 xml:space="preserve">другие вопросы в области национальной </w:t>
            </w:r>
            <w:proofErr w:type="spellStart"/>
            <w:r w:rsidRPr="006F320E">
              <w:rPr>
                <w:color w:val="000000"/>
                <w:sz w:val="22"/>
                <w:szCs w:val="22"/>
              </w:rPr>
              <w:t>экномики</w:t>
            </w:r>
            <w:proofErr w:type="spellEnd"/>
            <w:r w:rsidRPr="006F32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\0412\\\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41 216,00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41 216,00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\0502\\\\\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1 672 541,00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1 518 541,00</w:t>
            </w:r>
          </w:p>
        </w:tc>
      </w:tr>
      <w:tr w:rsidR="006F320E" w:rsidRPr="006F320E" w:rsidTr="006F32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\0503\\\\\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1 172 413,90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1 106 780,76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другие вопросы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\0605\\\\\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324 071,88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324 065,00</w:t>
            </w:r>
          </w:p>
        </w:tc>
      </w:tr>
      <w:tr w:rsidR="006F320E" w:rsidRPr="006F320E" w:rsidTr="006F320E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</w:rPr>
            </w:pPr>
            <w:r w:rsidRPr="006F320E">
              <w:rPr>
                <w:color w:val="000000"/>
              </w:rPr>
              <w:t>\0801\\\\\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151 000,00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151 000,00</w:t>
            </w:r>
          </w:p>
        </w:tc>
      </w:tr>
      <w:tr w:rsidR="006F320E" w:rsidRPr="006F320E" w:rsidTr="006F320E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rPr>
                <w:color w:val="000000"/>
                <w:sz w:val="22"/>
                <w:szCs w:val="22"/>
              </w:rPr>
            </w:pPr>
            <w:r w:rsidRPr="006F320E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F320E">
              <w:rPr>
                <w:rFonts w:ascii="Calibri" w:hAnsi="Calibri"/>
                <w:color w:val="000000"/>
                <w:sz w:val="20"/>
                <w:szCs w:val="20"/>
              </w:rPr>
              <w:t>\1101\\\\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0E" w:rsidRPr="006F320E" w:rsidRDefault="006F320E" w:rsidP="006F320E">
            <w:pPr>
              <w:jc w:val="center"/>
              <w:rPr>
                <w:color w:val="000000"/>
                <w:sz w:val="28"/>
                <w:szCs w:val="28"/>
              </w:rPr>
            </w:pPr>
            <w:r w:rsidRPr="006F32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F320E" w:rsidRPr="006F320E" w:rsidTr="006F320E">
        <w:trPr>
          <w:trHeight w:val="405"/>
        </w:trPr>
        <w:tc>
          <w:tcPr>
            <w:tcW w:w="49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F320E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</w:rPr>
            </w:pPr>
            <w:r w:rsidRPr="006F320E">
              <w:rPr>
                <w:b/>
                <w:bCs/>
                <w:color w:val="000000"/>
              </w:rPr>
              <w:t>-891 420,33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20E" w:rsidRPr="006F320E" w:rsidRDefault="006F320E" w:rsidP="006F320E">
            <w:pPr>
              <w:jc w:val="center"/>
              <w:rPr>
                <w:b/>
                <w:bCs/>
                <w:color w:val="000000"/>
              </w:rPr>
            </w:pPr>
            <w:r w:rsidRPr="006F320E">
              <w:rPr>
                <w:b/>
                <w:bCs/>
                <w:color w:val="000000"/>
              </w:rPr>
              <w:t>-631 659,54</w:t>
            </w:r>
          </w:p>
        </w:tc>
      </w:tr>
    </w:tbl>
    <w:p w:rsidR="00D16ADB" w:rsidRDefault="00D16ADB" w:rsidP="00D16ADB">
      <w:pPr>
        <w:rPr>
          <w:szCs w:val="28"/>
        </w:rPr>
      </w:pPr>
    </w:p>
    <w:p w:rsidR="005C21E5" w:rsidRDefault="006F320E"/>
    <w:sectPr w:rsidR="005C21E5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3E6649"/>
    <w:rsid w:val="005E48F1"/>
    <w:rsid w:val="006D6303"/>
    <w:rsid w:val="006F320E"/>
    <w:rsid w:val="00B86DD5"/>
    <w:rsid w:val="00D16ADB"/>
    <w:rsid w:val="00F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6</cp:revision>
  <dcterms:created xsi:type="dcterms:W3CDTF">2020-02-25T06:01:00Z</dcterms:created>
  <dcterms:modified xsi:type="dcterms:W3CDTF">2020-05-19T10:06:00Z</dcterms:modified>
</cp:coreProperties>
</file>