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8C" w:rsidRPr="00C90E8C" w:rsidRDefault="00C90E8C" w:rsidP="00C90E8C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C90E8C" w:rsidRPr="00C90E8C" w:rsidRDefault="00C90E8C" w:rsidP="00C90E8C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C536F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месяцев 201</w:t>
      </w:r>
      <w:r w:rsidR="00EE28C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>
        <w:rPr>
          <w:sz w:val="28"/>
        </w:rPr>
        <w:t>12</w:t>
      </w:r>
      <w:r>
        <w:rPr>
          <w:sz w:val="28"/>
        </w:rPr>
        <w:t xml:space="preserve"> месяцев  201</w:t>
      </w:r>
      <w:r w:rsidR="00EE28C6">
        <w:rPr>
          <w:sz w:val="28"/>
        </w:rPr>
        <w:t>8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>
        <w:rPr>
          <w:sz w:val="28"/>
        </w:rPr>
        <w:t>12</w:t>
      </w:r>
      <w:r>
        <w:rPr>
          <w:sz w:val="28"/>
        </w:rPr>
        <w:t xml:space="preserve"> месяцев  201</w:t>
      </w:r>
      <w:r w:rsidR="00EE28C6">
        <w:rPr>
          <w:sz w:val="28"/>
        </w:rPr>
        <w:t xml:space="preserve">8 </w:t>
      </w:r>
      <w:r w:rsidR="00B27310">
        <w:rPr>
          <w:sz w:val="28"/>
        </w:rPr>
        <w:t>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возложить на постоянную комиссию по бюджету, налогам, вопросам муниципальной собственности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пред</w:t>
      </w:r>
      <w:r w:rsidR="00AB1447">
        <w:rPr>
          <w:sz w:val="28"/>
        </w:rPr>
        <w:t xml:space="preserve">седатель </w:t>
      </w:r>
      <w:r>
        <w:rPr>
          <w:sz w:val="28"/>
        </w:rPr>
        <w:t xml:space="preserve"> комиссии </w:t>
      </w:r>
      <w:r w:rsidR="00AB1447">
        <w:rPr>
          <w:sz w:val="28"/>
        </w:rPr>
        <w:t>Кочубей С.В.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proofErr w:type="spellStart"/>
      <w:r w:rsidR="001C500D">
        <w:rPr>
          <w:sz w:val="28"/>
          <w:szCs w:val="28"/>
        </w:rPr>
        <w:t>В.Н.Карунос</w:t>
      </w:r>
      <w:proofErr w:type="spellEnd"/>
    </w:p>
    <w:p w:rsidR="003A47E2" w:rsidRDefault="003A47E2" w:rsidP="003A47E2">
      <w:pPr>
        <w:jc w:val="both"/>
        <w:rPr>
          <w:sz w:val="28"/>
          <w:szCs w:val="28"/>
        </w:rPr>
      </w:pPr>
    </w:p>
    <w:p w:rsidR="003A47E2" w:rsidRDefault="00AB1447" w:rsidP="003A47E2">
      <w:pPr>
        <w:jc w:val="both"/>
        <w:rPr>
          <w:sz w:val="28"/>
        </w:rPr>
      </w:pPr>
      <w:r>
        <w:rPr>
          <w:sz w:val="28"/>
        </w:rPr>
        <w:t>«</w:t>
      </w:r>
      <w:r w:rsidR="00B27310">
        <w:rPr>
          <w:sz w:val="28"/>
        </w:rPr>
        <w:t>12</w:t>
      </w:r>
      <w:r>
        <w:rPr>
          <w:sz w:val="28"/>
        </w:rPr>
        <w:t>» апреля</w:t>
      </w:r>
      <w:r w:rsidR="003A47E2">
        <w:rPr>
          <w:sz w:val="28"/>
        </w:rPr>
        <w:t xml:space="preserve"> 201</w:t>
      </w:r>
      <w:r w:rsidR="00B27310">
        <w:rPr>
          <w:sz w:val="28"/>
        </w:rPr>
        <w:t>9</w:t>
      </w:r>
      <w:r w:rsidR="003A47E2">
        <w:rPr>
          <w:sz w:val="28"/>
        </w:rPr>
        <w:t xml:space="preserve"> г</w:t>
      </w: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№ </w:t>
      </w:r>
      <w:r w:rsidR="004D0808">
        <w:rPr>
          <w:sz w:val="28"/>
        </w:rPr>
        <w:t>43</w:t>
      </w:r>
      <w:r w:rsidR="00CE2794">
        <w:rPr>
          <w:sz w:val="28"/>
        </w:rPr>
        <w:t>0</w:t>
      </w:r>
    </w:p>
    <w:p w:rsidR="00B63AD2" w:rsidRDefault="00B63AD2"/>
    <w:p w:rsidR="00CE2794" w:rsidRDefault="00CE2794"/>
    <w:p w:rsidR="00CE2794" w:rsidRDefault="00CE2794"/>
    <w:p w:rsidR="00CE2794" w:rsidRDefault="00CE2794"/>
    <w:p w:rsidR="00CE2794" w:rsidRDefault="00CE2794"/>
    <w:p w:rsidR="00CE2794" w:rsidRDefault="00CE2794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326"/>
        <w:gridCol w:w="1061"/>
        <w:gridCol w:w="1065"/>
        <w:gridCol w:w="243"/>
        <w:gridCol w:w="2025"/>
        <w:gridCol w:w="2410"/>
      </w:tblGrid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 w:rsidP="00CE2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Приложение №1</w:t>
            </w:r>
          </w:p>
          <w:p w:rsidR="00CE2794" w:rsidRDefault="00CE2794" w:rsidP="00CE2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 решению Совета  сельского  поселения Балтийский сельсовет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муниципального</w:t>
            </w:r>
          </w:p>
          <w:p w:rsidR="00CE2794" w:rsidRDefault="00CE2794" w:rsidP="00CE2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района  Иглинский район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Республики  Башкортостан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от  12.04.2019 №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430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12 месяцев  2018 года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8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на  2018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 4 квартал 2018 года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6 528 408,00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7 220 107,44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59 615,70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сельхоз. налог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22 163,52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197 011,25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\1060600000\\\\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2 031 300,00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2 274 581,39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8 980,00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</w:t>
            </w:r>
            <w:bookmarkStart w:id="0" w:name="_GoBack"/>
            <w:bookmarkEnd w:id="0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дная плата за имущество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\1110503510\\\\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321 000,00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318 646,70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доходы от оказания платных услуг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\1130100\\\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56 808,00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451 808,88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поселений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89 000,00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89 000,00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поселений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627 000,00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Субсидии бюджетам сельских поселений 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\202299810\\\\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130 000,00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субсидии бюджетам сельских поселений 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\2022999910\\\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950 500,00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950 500,00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\202401410000\\\\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900 000,00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\2024999100000\\\\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500 000,00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безвозмездные поступления в бюджет сельских поселений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\2029005410\\\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417 800,00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417 800,00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безвозмездные поступления в бюджет сельских поселений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\2070503010\\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273 000,00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273 000,00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7 263 440,08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7 063 719,19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699 244,10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682 990,07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1 768 548,36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1 644 801,53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89 000,00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89 000,00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Обеспечение пожарной безопасности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276 328,43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276 328,43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\0314\\\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2 260 054,00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2 260 054,00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экномики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24 324,00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24 324,00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1 872 941,19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1 814 221,16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\1003\\\\\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259 200,00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259 200,00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12 800,00</w:t>
            </w:r>
          </w:p>
        </w:tc>
      </w:tr>
      <w:tr w:rsidR="00CE2794" w:rsidTr="00CE279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70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-735 032,08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2794" w:rsidRDefault="00CE2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156 388,25</w:t>
            </w:r>
          </w:p>
        </w:tc>
      </w:tr>
    </w:tbl>
    <w:p w:rsidR="00CE2794" w:rsidRDefault="00CE2794"/>
    <w:sectPr w:rsidR="00CE2794" w:rsidSect="00CE279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3A47E2"/>
    <w:rsid w:val="004D0808"/>
    <w:rsid w:val="005212CB"/>
    <w:rsid w:val="00AB1447"/>
    <w:rsid w:val="00B27310"/>
    <w:rsid w:val="00B63AD2"/>
    <w:rsid w:val="00C536F4"/>
    <w:rsid w:val="00C90E8C"/>
    <w:rsid w:val="00CE2794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13</cp:revision>
  <cp:lastPrinted>2019-04-15T11:17:00Z</cp:lastPrinted>
  <dcterms:created xsi:type="dcterms:W3CDTF">2015-10-29T03:38:00Z</dcterms:created>
  <dcterms:modified xsi:type="dcterms:W3CDTF">2019-05-16T10:52:00Z</dcterms:modified>
</cp:coreProperties>
</file>