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DBB" w:rsidRPr="00403DBB" w:rsidRDefault="00403DBB" w:rsidP="007E0696">
      <w:pPr>
        <w:jc w:val="center"/>
        <w:rPr>
          <w:sz w:val="28"/>
          <w:szCs w:val="28"/>
        </w:rPr>
      </w:pPr>
      <w:r>
        <w:rPr>
          <w:noProof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DBB">
        <w:t xml:space="preserve">               </w:t>
      </w:r>
      <w:r w:rsidRPr="00403DBB">
        <w:rPr>
          <w:b/>
          <w:szCs w:val="28"/>
        </w:rPr>
        <w:t>КАРАР                                                                                                         РЕШЕНИЕ</w:t>
      </w:r>
    </w:p>
    <w:p w:rsidR="00403DBB" w:rsidRPr="00403DBB" w:rsidRDefault="00403DBB" w:rsidP="00403DBB">
      <w:pPr>
        <w:keepNext/>
        <w:outlineLvl w:val="0"/>
        <w:rPr>
          <w:b/>
          <w:sz w:val="28"/>
          <w:szCs w:val="28"/>
        </w:rPr>
      </w:pPr>
    </w:p>
    <w:p w:rsidR="00403DBB" w:rsidRPr="00403DBB" w:rsidRDefault="00403DBB" w:rsidP="00403DBB">
      <w:pPr>
        <w:keepNext/>
        <w:jc w:val="center"/>
        <w:outlineLvl w:val="0"/>
        <w:rPr>
          <w:b/>
          <w:sz w:val="28"/>
          <w:szCs w:val="28"/>
        </w:rPr>
      </w:pPr>
      <w:r w:rsidRPr="00403DBB">
        <w:rPr>
          <w:b/>
          <w:sz w:val="28"/>
          <w:szCs w:val="28"/>
        </w:rPr>
        <w:t>Совета сельского поселения Балтийский сельсовет муниципального</w:t>
      </w:r>
    </w:p>
    <w:p w:rsidR="00403DBB" w:rsidRPr="00403DBB" w:rsidRDefault="00403DBB" w:rsidP="00403DBB">
      <w:pPr>
        <w:jc w:val="center"/>
        <w:rPr>
          <w:b/>
          <w:sz w:val="28"/>
          <w:szCs w:val="28"/>
        </w:rPr>
      </w:pPr>
      <w:r w:rsidRPr="00403DBB">
        <w:rPr>
          <w:b/>
          <w:sz w:val="28"/>
          <w:szCs w:val="28"/>
        </w:rPr>
        <w:t>района  Иглинский район Республики Башкортостан</w:t>
      </w:r>
    </w:p>
    <w:p w:rsidR="003A47E2" w:rsidRPr="00543071" w:rsidRDefault="00403DBB" w:rsidP="00543071">
      <w:pPr>
        <w:keepNext/>
        <w:outlineLvl w:val="0"/>
        <w:rPr>
          <w:b/>
          <w:sz w:val="28"/>
          <w:szCs w:val="28"/>
        </w:rPr>
      </w:pPr>
      <w:r w:rsidRPr="00403DBB">
        <w:rPr>
          <w:b/>
          <w:sz w:val="28"/>
          <w:szCs w:val="28"/>
        </w:rPr>
        <w:t xml:space="preserve">                             </w:t>
      </w:r>
    </w:p>
    <w:p w:rsidR="003A47E2" w:rsidRDefault="003A47E2" w:rsidP="003A47E2">
      <w:pPr>
        <w:ind w:left="360"/>
        <w:jc w:val="center"/>
        <w:rPr>
          <w:b/>
          <w:sz w:val="28"/>
          <w:szCs w:val="28"/>
        </w:rPr>
      </w:pPr>
    </w:p>
    <w:p w:rsidR="003A47E2" w:rsidRDefault="003A47E2" w:rsidP="007E06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отчете исполнения бюджета сельского поселения </w:t>
      </w:r>
      <w:r w:rsidR="00543071">
        <w:rPr>
          <w:b/>
          <w:sz w:val="28"/>
          <w:szCs w:val="28"/>
        </w:rPr>
        <w:t>Балтийский</w:t>
      </w:r>
      <w:r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за </w:t>
      </w:r>
      <w:r w:rsidR="00BE574C">
        <w:rPr>
          <w:b/>
          <w:sz w:val="28"/>
          <w:szCs w:val="28"/>
        </w:rPr>
        <w:t>12</w:t>
      </w:r>
      <w:r w:rsidR="00116252">
        <w:rPr>
          <w:b/>
          <w:sz w:val="28"/>
          <w:szCs w:val="28"/>
        </w:rPr>
        <w:t xml:space="preserve"> месяцев</w:t>
      </w:r>
      <w:r>
        <w:rPr>
          <w:b/>
          <w:sz w:val="28"/>
          <w:szCs w:val="28"/>
        </w:rPr>
        <w:t xml:space="preserve"> 201</w:t>
      </w:r>
      <w:r w:rsidR="008F208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</w:p>
    <w:p w:rsidR="003A47E2" w:rsidRDefault="003A47E2" w:rsidP="003A47E2">
      <w:pPr>
        <w:jc w:val="both"/>
        <w:rPr>
          <w:b/>
          <w:sz w:val="28"/>
          <w:szCs w:val="28"/>
        </w:rPr>
      </w:pPr>
    </w:p>
    <w:p w:rsidR="003A47E2" w:rsidRDefault="003A47E2" w:rsidP="003A47E2">
      <w:pPr>
        <w:jc w:val="both"/>
        <w:rPr>
          <w:sz w:val="28"/>
        </w:rPr>
      </w:pPr>
      <w:r>
        <w:rPr>
          <w:sz w:val="28"/>
        </w:rPr>
        <w:t xml:space="preserve">    Заслушав и обсудив об отчете исполнения бюджета сельского поселения </w:t>
      </w:r>
      <w:r w:rsidR="00543071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за </w:t>
      </w:r>
      <w:r w:rsidR="00BE574C">
        <w:rPr>
          <w:sz w:val="28"/>
        </w:rPr>
        <w:t>12</w:t>
      </w:r>
      <w:r w:rsidR="00116252">
        <w:rPr>
          <w:sz w:val="28"/>
        </w:rPr>
        <w:t xml:space="preserve"> месяцев </w:t>
      </w:r>
      <w:r w:rsidR="008F2089">
        <w:rPr>
          <w:sz w:val="28"/>
        </w:rPr>
        <w:t>2016</w:t>
      </w:r>
      <w:r>
        <w:rPr>
          <w:sz w:val="28"/>
        </w:rPr>
        <w:t xml:space="preserve"> года Совет сельского поселения </w:t>
      </w:r>
      <w:r w:rsidR="00543071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решил: </w:t>
      </w:r>
    </w:p>
    <w:p w:rsidR="003A47E2" w:rsidRDefault="003A47E2" w:rsidP="003A47E2">
      <w:pPr>
        <w:jc w:val="both"/>
        <w:rPr>
          <w:sz w:val="28"/>
        </w:rPr>
      </w:pP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Отчет об исполнении бюджета сельского поселения </w:t>
      </w:r>
      <w:r w:rsidR="00543071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за </w:t>
      </w:r>
      <w:r w:rsidR="00BE574C">
        <w:rPr>
          <w:sz w:val="28"/>
        </w:rPr>
        <w:t>12</w:t>
      </w:r>
      <w:r w:rsidR="00116252">
        <w:rPr>
          <w:sz w:val="28"/>
        </w:rPr>
        <w:t xml:space="preserve"> месяцев</w:t>
      </w:r>
      <w:r w:rsidR="008F2089">
        <w:rPr>
          <w:sz w:val="28"/>
        </w:rPr>
        <w:t xml:space="preserve"> 2016 года </w:t>
      </w:r>
      <w:r w:rsidR="00543071">
        <w:rPr>
          <w:sz w:val="28"/>
        </w:rPr>
        <w:t>утвердить (</w:t>
      </w:r>
      <w:proofErr w:type="gramStart"/>
      <w:r>
        <w:rPr>
          <w:sz w:val="28"/>
        </w:rPr>
        <w:t>согласно приложения</w:t>
      </w:r>
      <w:proofErr w:type="gramEnd"/>
      <w:r>
        <w:rPr>
          <w:sz w:val="28"/>
        </w:rPr>
        <w:t xml:space="preserve"> № 1).</w:t>
      </w: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Обнародовать отчет об исполнении бюджета сельского поселения </w:t>
      </w:r>
      <w:r w:rsidR="00543071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на стенде информации в администрации </w:t>
      </w:r>
      <w:r w:rsidR="00543071">
        <w:rPr>
          <w:sz w:val="28"/>
        </w:rPr>
        <w:t>сельского поселения Балтийский</w:t>
      </w:r>
      <w:r>
        <w:rPr>
          <w:sz w:val="28"/>
        </w:rPr>
        <w:t xml:space="preserve"> сельсовет.</w:t>
      </w: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Контроль за исполнением настоящего решения возложить на постоянную комиссию по бюджету, налогам, вопросам муниципальной собственности ( пред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омиссии </w:t>
      </w:r>
      <w:r w:rsidR="00543071">
        <w:rPr>
          <w:sz w:val="28"/>
        </w:rPr>
        <w:t xml:space="preserve">– </w:t>
      </w:r>
      <w:proofErr w:type="spellStart"/>
      <w:r w:rsidR="00543071">
        <w:rPr>
          <w:sz w:val="28"/>
        </w:rPr>
        <w:t>С.В.Кочубей</w:t>
      </w:r>
      <w:proofErr w:type="spellEnd"/>
      <w:r>
        <w:rPr>
          <w:sz w:val="28"/>
        </w:rPr>
        <w:t>)</w:t>
      </w:r>
    </w:p>
    <w:p w:rsidR="003A47E2" w:rsidRDefault="003A47E2" w:rsidP="003A47E2">
      <w:pPr>
        <w:ind w:left="300"/>
        <w:jc w:val="both"/>
        <w:rPr>
          <w:sz w:val="28"/>
        </w:rPr>
      </w:pPr>
    </w:p>
    <w:p w:rsidR="00543071" w:rsidRDefault="00543071" w:rsidP="003A47E2">
      <w:pPr>
        <w:ind w:left="300"/>
        <w:jc w:val="both"/>
        <w:rPr>
          <w:sz w:val="28"/>
        </w:rPr>
      </w:pPr>
    </w:p>
    <w:p w:rsidR="00543071" w:rsidRDefault="00543071" w:rsidP="003A47E2">
      <w:pPr>
        <w:ind w:left="300"/>
        <w:jc w:val="both"/>
        <w:rPr>
          <w:sz w:val="28"/>
        </w:rPr>
      </w:pPr>
    </w:p>
    <w:p w:rsidR="003A47E2" w:rsidRDefault="003A47E2" w:rsidP="003A47E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543071">
        <w:rPr>
          <w:sz w:val="28"/>
          <w:szCs w:val="28"/>
        </w:rPr>
        <w:t xml:space="preserve">                                                             В.Н.Карунос</w:t>
      </w:r>
    </w:p>
    <w:p w:rsidR="003A47E2" w:rsidRDefault="003A47E2" w:rsidP="003A47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A47E2" w:rsidRDefault="007E0696" w:rsidP="003A47E2">
      <w:pPr>
        <w:jc w:val="both"/>
        <w:rPr>
          <w:sz w:val="28"/>
        </w:rPr>
      </w:pPr>
      <w:r>
        <w:rPr>
          <w:sz w:val="28"/>
        </w:rPr>
        <w:t>05 апреля</w:t>
      </w:r>
      <w:r w:rsidR="003A47E2">
        <w:rPr>
          <w:sz w:val="28"/>
        </w:rPr>
        <w:t xml:space="preserve"> 201</w:t>
      </w:r>
      <w:r w:rsidR="00543071">
        <w:rPr>
          <w:sz w:val="28"/>
        </w:rPr>
        <w:t>7</w:t>
      </w:r>
      <w:r w:rsidR="003A47E2">
        <w:rPr>
          <w:sz w:val="28"/>
        </w:rPr>
        <w:t xml:space="preserve"> г</w:t>
      </w:r>
      <w:r w:rsidR="00EB3AC4">
        <w:rPr>
          <w:sz w:val="28"/>
        </w:rPr>
        <w:t>.</w:t>
      </w:r>
    </w:p>
    <w:p w:rsidR="00B63AD2" w:rsidRDefault="00EB3AC4" w:rsidP="00EB3AC4">
      <w:pPr>
        <w:jc w:val="both"/>
        <w:rPr>
          <w:sz w:val="28"/>
        </w:rPr>
      </w:pPr>
      <w:r>
        <w:rPr>
          <w:sz w:val="28"/>
        </w:rPr>
        <w:t xml:space="preserve">№ </w:t>
      </w:r>
      <w:r w:rsidR="00FD5221">
        <w:rPr>
          <w:sz w:val="28"/>
        </w:rPr>
        <w:t>203</w:t>
      </w:r>
    </w:p>
    <w:p w:rsidR="005F40D5" w:rsidRDefault="005F40D5" w:rsidP="00EB3AC4">
      <w:pPr>
        <w:jc w:val="both"/>
        <w:rPr>
          <w:sz w:val="28"/>
        </w:rPr>
      </w:pPr>
    </w:p>
    <w:p w:rsidR="005F40D5" w:rsidRDefault="005F40D5" w:rsidP="00EB3AC4">
      <w:pPr>
        <w:jc w:val="both"/>
        <w:rPr>
          <w:sz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21"/>
        <w:gridCol w:w="2064"/>
        <w:gridCol w:w="2042"/>
        <w:gridCol w:w="2652"/>
      </w:tblGrid>
      <w:tr w:rsidR="005F40D5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Приложение №1</w:t>
            </w:r>
          </w:p>
        </w:tc>
      </w:tr>
      <w:tr w:rsidR="005F40D5" w:rsidTr="005F40D5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96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40D5" w:rsidRDefault="005F40D5" w:rsidP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к  решению Совета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сельского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</w:t>
            </w:r>
          </w:p>
          <w:p w:rsidR="005F40D5" w:rsidRDefault="005F40D5" w:rsidP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поселения Балтийский сельсовет</w:t>
            </w:r>
          </w:p>
        </w:tc>
      </w:tr>
      <w:tr w:rsidR="005F40D5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муниципального 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 Иглинский район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Республики  Башкортостан</w:t>
            </w:r>
          </w:p>
        </w:tc>
      </w:tr>
      <w:tr w:rsidR="005F40D5" w:rsidTr="005F40D5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96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40D5" w:rsidRDefault="005F40D5" w:rsidP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F40D5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5F40D5" w:rsidRDefault="005F40D5" w:rsidP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№  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203</w:t>
            </w:r>
            <w:bookmarkStart w:id="0" w:name="_GoBack"/>
            <w:bookmarkEnd w:id="0"/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от 05.04.20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17 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г. </w:t>
            </w:r>
          </w:p>
        </w:tc>
      </w:tr>
      <w:tr w:rsidR="005F40D5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5F40D5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F40D5" w:rsidTr="005F40D5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96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Отчет об исполнении  бюджета сельского поселения Балтийский сельсовет муниципального района Иглинский район за 12 месяцев 2016 год</w:t>
            </w:r>
          </w:p>
        </w:tc>
      </w:tr>
      <w:tr w:rsidR="005F40D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 руб.</w:t>
            </w:r>
          </w:p>
        </w:tc>
      </w:tr>
      <w:tr w:rsidR="005F40D5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292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206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Классификация</w:t>
            </w:r>
          </w:p>
        </w:tc>
        <w:tc>
          <w:tcPr>
            <w:tcW w:w="20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Уточненный</w:t>
            </w:r>
          </w:p>
        </w:tc>
        <w:tc>
          <w:tcPr>
            <w:tcW w:w="26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Отчет</w:t>
            </w:r>
          </w:p>
        </w:tc>
      </w:tr>
      <w:tr w:rsidR="005F40D5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92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план на  2016 год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за 12 месяцев 2016 года</w:t>
            </w:r>
          </w:p>
        </w:tc>
      </w:tr>
      <w:tr w:rsidR="005F40D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2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Доходы</w:t>
            </w:r>
          </w:p>
        </w:tc>
        <w:tc>
          <w:tcPr>
            <w:tcW w:w="206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5 114 510,00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5 316 186,63</w:t>
            </w:r>
          </w:p>
        </w:tc>
      </w:tr>
      <w:tr w:rsidR="005F40D5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 на доходы физических лиц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\1010200000\\\\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42 075,00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44 538,13</w:t>
            </w:r>
          </w:p>
        </w:tc>
      </w:tr>
      <w:tr w:rsidR="005F40D5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Единый сельхоз. налог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\1050301001\\\ \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113,00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113,40</w:t>
            </w:r>
          </w:p>
        </w:tc>
      </w:tr>
      <w:tr w:rsidR="005F40D5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Налог на имущество физических лиц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\1060100000\\\\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73 223,00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73 545,07</w:t>
            </w:r>
          </w:p>
        </w:tc>
      </w:tr>
      <w:tr w:rsidR="005F40D5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Земельный налог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\1060600000\\\\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910 000,00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1 063 180,58</w:t>
            </w:r>
          </w:p>
        </w:tc>
      </w:tr>
      <w:tr w:rsidR="005F40D5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Госпошлина                                  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\1080402001000\\\\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6 000,00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6 000,00</w:t>
            </w:r>
          </w:p>
        </w:tc>
      </w:tr>
      <w:tr w:rsidR="005F40D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Аредная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плата за имущество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\1110503510\\\\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270 000,00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353 768,88</w:t>
            </w:r>
          </w:p>
        </w:tc>
      </w:tr>
      <w:tr w:rsidR="005F40D5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Прочие доходы от оказания платных услуг 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\1130100\\\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4 000,00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4 000,00</w:t>
            </w:r>
          </w:p>
        </w:tc>
      </w:tr>
      <w:tr w:rsidR="005F40D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неналоговые доходы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\1170500000\\\\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24 589,00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36 534,57</w:t>
            </w:r>
          </w:p>
        </w:tc>
      </w:tr>
      <w:tr w:rsidR="005F40D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Субвенции бюджетам поселений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\2020000000\\\\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81 000,00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81 000,00</w:t>
            </w:r>
          </w:p>
        </w:tc>
      </w:tr>
      <w:tr w:rsidR="005F40D5" w:rsidTr="005F40D5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4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Дотации бюджетам поселений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1 039 000,00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1 038 996,00</w:t>
            </w:r>
          </w:p>
        </w:tc>
      </w:tr>
      <w:tr w:rsidR="005F40D5" w:rsidTr="005F40D5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Дотации бюджетам поселений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57 000,00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57 000,00</w:t>
            </w:r>
          </w:p>
        </w:tc>
      </w:tr>
      <w:tr w:rsidR="005F40D5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Прочие безвозмездные поступления в бюджеты сельских поселений </w:t>
            </w:r>
          </w:p>
        </w:tc>
        <w:tc>
          <w:tcPr>
            <w:tcW w:w="20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\2020905410\\\\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957 510,00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727 510,00</w:t>
            </w:r>
          </w:p>
        </w:tc>
      </w:tr>
      <w:tr w:rsidR="005F40D5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\2020401410000\\\\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1 150 000,00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1 150 000,00</w:t>
            </w:r>
          </w:p>
        </w:tc>
      </w:tr>
      <w:tr w:rsidR="005F40D5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\20204999100000\\\\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500 000,00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500 000,00</w:t>
            </w:r>
          </w:p>
        </w:tc>
      </w:tr>
      <w:tr w:rsidR="005F40D5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Прочие безвозмездные поступления в бюджеты сельских поселений 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\2070503010\\\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180 000,00</w:t>
            </w:r>
          </w:p>
        </w:tc>
      </w:tr>
      <w:tr w:rsidR="005F40D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92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Расходы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5 127 556,12</w:t>
            </w:r>
          </w:p>
        </w:tc>
        <w:tc>
          <w:tcPr>
            <w:tcW w:w="2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5 035 118,14</w:t>
            </w:r>
          </w:p>
        </w:tc>
      </w:tr>
      <w:tr w:rsidR="005F40D5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\0102\\\\\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549 944,42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549 944,42</w:t>
            </w:r>
          </w:p>
        </w:tc>
      </w:tr>
      <w:tr w:rsidR="005F40D5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\0104\\\\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1 500 547,42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1 409 280,39</w:t>
            </w:r>
          </w:p>
        </w:tc>
      </w:tr>
      <w:tr w:rsidR="005F40D5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Мобилизационная и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>вневойсковая подготовка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\0203\\\\\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81 000,00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81 000,00</w:t>
            </w:r>
          </w:p>
        </w:tc>
      </w:tr>
      <w:tr w:rsidR="005F40D5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Обеспечение пожарной безопасности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\0310\\\\\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184 973,70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184 973,70</w:t>
            </w:r>
          </w:p>
        </w:tc>
      </w:tr>
      <w:tr w:rsidR="005F40D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\0113\\\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5F40D5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Дорожное хозяйство (дорожные фонды)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\0409\\\\\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1 177 035,48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1 177 035,48</w:t>
            </w:r>
          </w:p>
        </w:tc>
      </w:tr>
      <w:tr w:rsidR="005F40D5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другие вопросы в области национальной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экномики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\0412\\\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194 150,00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193 883,29</w:t>
            </w:r>
          </w:p>
        </w:tc>
      </w:tr>
      <w:tr w:rsidR="005F40D5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Коммунальное хозяйство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\0502\\\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460 950,00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460 950,00</w:t>
            </w:r>
          </w:p>
        </w:tc>
      </w:tr>
      <w:tr w:rsidR="005F40D5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\0503\\\\\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944 395,10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943 490,86</w:t>
            </w:r>
          </w:p>
        </w:tc>
      </w:tr>
      <w:tr w:rsidR="005F40D5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Социальное обеспечение населения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\1003\\\\\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34 560,00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34 560,00</w:t>
            </w:r>
          </w:p>
        </w:tc>
      </w:tr>
      <w:tr w:rsidR="005F40D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\1101\\\\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5F40D5" w:rsidTr="005F40D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98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Дефицит бюджета (со знаком минус)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-13 046,12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F40D5" w:rsidRDefault="005F40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281 068,49</w:t>
            </w:r>
          </w:p>
        </w:tc>
      </w:tr>
    </w:tbl>
    <w:p w:rsidR="005F40D5" w:rsidRPr="00EB3AC4" w:rsidRDefault="005F40D5" w:rsidP="00EB3AC4">
      <w:pPr>
        <w:jc w:val="both"/>
        <w:rPr>
          <w:sz w:val="28"/>
        </w:rPr>
      </w:pPr>
    </w:p>
    <w:sectPr w:rsidR="005F40D5" w:rsidRPr="00EB3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CB"/>
    <w:rsid w:val="00116252"/>
    <w:rsid w:val="003A47E2"/>
    <w:rsid w:val="00403DBB"/>
    <w:rsid w:val="005212CB"/>
    <w:rsid w:val="00543071"/>
    <w:rsid w:val="005F40D5"/>
    <w:rsid w:val="007E0696"/>
    <w:rsid w:val="00804B69"/>
    <w:rsid w:val="008F2089"/>
    <w:rsid w:val="00B63AD2"/>
    <w:rsid w:val="00BE574C"/>
    <w:rsid w:val="00C536F4"/>
    <w:rsid w:val="00D95454"/>
    <w:rsid w:val="00EB3AC4"/>
    <w:rsid w:val="00FD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3D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D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3D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D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19</cp:revision>
  <cp:lastPrinted>2017-03-03T07:38:00Z</cp:lastPrinted>
  <dcterms:created xsi:type="dcterms:W3CDTF">2015-10-29T03:38:00Z</dcterms:created>
  <dcterms:modified xsi:type="dcterms:W3CDTF">2017-04-12T03:58:00Z</dcterms:modified>
</cp:coreProperties>
</file>